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89" w:rsidRDefault="001A2F7E" w:rsidP="009B75C1">
      <w:pPr>
        <w:pStyle w:val="Heading1"/>
        <w:rPr>
          <w:rFonts w:ascii="Arial Black" w:hAnsi="Arial Black"/>
        </w:rPr>
      </w:pPr>
      <w:r w:rsidRPr="00E2614E">
        <w:rPr>
          <w:noProof/>
        </w:rPr>
        <w:drawing>
          <wp:inline distT="0" distB="0" distL="0" distR="0" wp14:anchorId="4809672B" wp14:editId="2BC7ABAC">
            <wp:extent cx="2099310" cy="737870"/>
            <wp:effectExtent l="0" t="0" r="0" b="5080"/>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9310" cy="737870"/>
                    </a:xfrm>
                    <a:prstGeom prst="rect">
                      <a:avLst/>
                    </a:prstGeom>
                  </pic:spPr>
                </pic:pic>
              </a:graphicData>
            </a:graphic>
          </wp:inline>
        </w:drawing>
      </w:r>
      <w:bookmarkStart w:id="0" w:name="_GoBack"/>
      <w:bookmarkEnd w:id="0"/>
    </w:p>
    <w:p w:rsidR="00157A61" w:rsidRPr="00157459" w:rsidRDefault="00157A61" w:rsidP="009B75C1">
      <w:pPr>
        <w:pStyle w:val="Heading1"/>
      </w:pPr>
      <w:r w:rsidRPr="00157459">
        <w:t>RURAL ROCKS</w:t>
      </w:r>
    </w:p>
    <w:p w:rsidR="007D06C4" w:rsidRDefault="007D06C4" w:rsidP="00F428D4">
      <w:pPr>
        <w:jc w:val="center"/>
        <w:rPr>
          <w:b/>
          <w:szCs w:val="24"/>
        </w:rPr>
      </w:pPr>
    </w:p>
    <w:p w:rsidR="002B453E" w:rsidRPr="00157459" w:rsidRDefault="007D06C4" w:rsidP="00453889">
      <w:pPr>
        <w:jc w:val="center"/>
        <w:rPr>
          <w:szCs w:val="24"/>
        </w:rPr>
      </w:pPr>
      <w:r>
        <w:rPr>
          <w:rFonts w:ascii="Arial Black" w:hAnsi="Arial Black"/>
          <w:noProof/>
          <w:sz w:val="32"/>
          <w:szCs w:val="32"/>
        </w:rPr>
        <mc:AlternateContent>
          <mc:Choice Requires="wps">
            <w:drawing>
              <wp:anchor distT="0" distB="0" distL="114300" distR="114300" simplePos="0" relativeHeight="251659263" behindDoc="1" locked="0" layoutInCell="1" allowOverlap="1" wp14:anchorId="3DD49ECE" wp14:editId="20DD207A">
                <wp:simplePos x="0" y="0"/>
                <wp:positionH relativeFrom="column">
                  <wp:posOffset>-129540</wp:posOffset>
                </wp:positionH>
                <wp:positionV relativeFrom="paragraph">
                  <wp:posOffset>254634</wp:posOffset>
                </wp:positionV>
                <wp:extent cx="7038975" cy="7877175"/>
                <wp:effectExtent l="57150" t="38100" r="85725" b="104775"/>
                <wp:wrapNone/>
                <wp:docPr id="1" name="Rectangle 1" descr="A box of background light blue to set off the Table of Contents" title="Background color of Table of Contents"/>
                <wp:cNvGraphicFramePr/>
                <a:graphic xmlns:a="http://schemas.openxmlformats.org/drawingml/2006/main">
                  <a:graphicData uri="http://schemas.microsoft.com/office/word/2010/wordprocessingShape">
                    <wps:wsp>
                      <wps:cNvSpPr/>
                      <wps:spPr>
                        <a:xfrm>
                          <a:off x="0" y="0"/>
                          <a:ext cx="7038975" cy="7877175"/>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alt="Title: Background color of Table of Contents - Description: A box of background light blue to set off the Table of Contents" style="position:absolute;margin-left:-10.2pt;margin-top:20.05pt;width:554.25pt;height:620.25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" fillcolor="#a5d5e2 [1624]" strokecolor="#40a7c2 [3048]">
                <v:fill color2="#e4f2f6 [504]" rotate="t" angle="180" colors="0 #9eeaff;22938f #bbefff;1 #e4f9ff" focus="100%" type="gradient"/>
                <v:shadow on="t" color="black" opacity="24903f" origin=",.5" offset="0,.55556mm"/>
              </v:rect>
            </w:pict>
          </mc:Fallback>
        </mc:AlternateContent>
      </w:r>
    </w:p>
    <w:p w:rsidR="002B453E" w:rsidRDefault="002B453E" w:rsidP="002B453E">
      <w:pPr>
        <w:sectPr w:rsidR="002B453E" w:rsidSect="00C908CB">
          <w:footerReference w:type="default" r:id="rId10"/>
          <w:type w:val="continuous"/>
          <w:pgSz w:w="12240" w:h="15840"/>
          <w:pgMar w:top="720" w:right="1296" w:bottom="720" w:left="864" w:header="720" w:footer="720" w:gutter="0"/>
          <w:cols w:space="720"/>
          <w:docGrid w:linePitch="360"/>
        </w:sectPr>
      </w:pPr>
    </w:p>
    <w:bookmarkStart w:id="1" w:name="_Toc457284413"/>
    <w:p w:rsidR="00470B98" w:rsidRDefault="00B942F9">
      <w:pPr>
        <w:pStyle w:val="TOC1"/>
        <w:tabs>
          <w:tab w:val="right" w:leader="dot" w:pos="4814"/>
        </w:tabs>
        <w:rPr>
          <w:rFonts w:asciiTheme="minorHAnsi" w:eastAsiaTheme="minorEastAsia" w:hAnsiTheme="minorHAnsi"/>
          <w:noProof/>
          <w:sz w:val="22"/>
        </w:rPr>
      </w:pPr>
      <w:r>
        <w:lastRenderedPageBreak/>
        <w:fldChar w:fldCharType="begin"/>
      </w:r>
      <w:r>
        <w:instrText xml:space="preserve"> TOC \o "1-2" \n \h \z \u </w:instrText>
      </w:r>
      <w:r>
        <w:fldChar w:fldCharType="separate"/>
      </w:r>
      <w:hyperlink w:anchor="_Toc462233214" w:history="1">
        <w:r w:rsidR="00470B98" w:rsidRPr="00523F02">
          <w:rPr>
            <w:rStyle w:val="Hyperlink"/>
            <w:noProof/>
          </w:rPr>
          <w:t>RECALLS</w:t>
        </w:r>
      </w:hyperlink>
    </w:p>
    <w:p w:rsidR="00470B98" w:rsidRDefault="00F41810">
      <w:pPr>
        <w:pStyle w:val="TOC2"/>
        <w:rPr>
          <w:rFonts w:asciiTheme="minorHAnsi" w:hAnsiTheme="minorHAnsi"/>
          <w:noProof/>
          <w:sz w:val="22"/>
          <w:lang w:eastAsia="en-US"/>
        </w:rPr>
      </w:pPr>
      <w:hyperlink w:anchor="_Toc462233215"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 xml:space="preserve">Recalled due to </w:t>
        </w:r>
        <w:r w:rsidR="00470B98" w:rsidRPr="00523F02">
          <w:rPr>
            <w:rStyle w:val="Hyperlink"/>
            <w:i/>
            <w:iCs/>
            <w:noProof/>
          </w:rPr>
          <w:t>Burkholderia cepacia</w:t>
        </w:r>
        <w:r w:rsidR="00470B98" w:rsidRPr="00523F02">
          <w:rPr>
            <w:rStyle w:val="Hyperlink"/>
            <w:noProof/>
          </w:rPr>
          <w:t xml:space="preserve"> contamination</w:t>
        </w:r>
      </w:hyperlink>
    </w:p>
    <w:p w:rsidR="00470B98" w:rsidRDefault="00F41810">
      <w:pPr>
        <w:pStyle w:val="TOC2"/>
        <w:rPr>
          <w:rFonts w:asciiTheme="minorHAnsi" w:hAnsiTheme="minorHAnsi"/>
          <w:noProof/>
          <w:sz w:val="22"/>
          <w:lang w:eastAsia="en-US"/>
        </w:rPr>
      </w:pPr>
      <w:hyperlink w:anchor="_Toc462233216"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Zecuity (sumatriptan) Migraine Patch - Temporarily removed from market due to risk of burns and scars</w:t>
        </w:r>
      </w:hyperlink>
    </w:p>
    <w:p w:rsidR="00470B98" w:rsidRDefault="00F41810">
      <w:pPr>
        <w:pStyle w:val="TOC1"/>
        <w:tabs>
          <w:tab w:val="right" w:leader="dot" w:pos="4814"/>
        </w:tabs>
        <w:rPr>
          <w:rFonts w:asciiTheme="minorHAnsi" w:eastAsiaTheme="minorEastAsia" w:hAnsiTheme="minorHAnsi"/>
          <w:noProof/>
          <w:sz w:val="22"/>
        </w:rPr>
      </w:pPr>
      <w:hyperlink w:anchor="_Toc462233217" w:history="1">
        <w:r w:rsidR="00470B98" w:rsidRPr="00523F02">
          <w:rPr>
            <w:rStyle w:val="Hyperlink"/>
            <w:noProof/>
          </w:rPr>
          <w:t>SHORTAGES</w:t>
        </w:r>
      </w:hyperlink>
    </w:p>
    <w:p w:rsidR="00470B98" w:rsidRDefault="00F41810">
      <w:pPr>
        <w:pStyle w:val="TOC2"/>
        <w:rPr>
          <w:rFonts w:asciiTheme="minorHAnsi" w:hAnsiTheme="minorHAnsi"/>
          <w:noProof/>
          <w:sz w:val="22"/>
          <w:lang w:eastAsia="en-US"/>
        </w:rPr>
      </w:pPr>
      <w:hyperlink w:anchor="_Toc462233218"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FDA Drug Shortages</w:t>
        </w:r>
      </w:hyperlink>
    </w:p>
    <w:p w:rsidR="00470B98" w:rsidRDefault="00F41810">
      <w:pPr>
        <w:pStyle w:val="TOC1"/>
        <w:tabs>
          <w:tab w:val="right" w:leader="dot" w:pos="4814"/>
        </w:tabs>
        <w:rPr>
          <w:rFonts w:asciiTheme="minorHAnsi" w:eastAsiaTheme="minorEastAsia" w:hAnsiTheme="minorHAnsi"/>
          <w:noProof/>
          <w:sz w:val="22"/>
        </w:rPr>
      </w:pPr>
      <w:hyperlink w:anchor="_Toc462233219" w:history="1">
        <w:r w:rsidR="00470B98" w:rsidRPr="00523F02">
          <w:rPr>
            <w:rStyle w:val="Hyperlink"/>
            <w:noProof/>
          </w:rPr>
          <w:t>DRUG</w:t>
        </w:r>
      </w:hyperlink>
    </w:p>
    <w:p w:rsidR="00470B98" w:rsidRDefault="00F41810">
      <w:pPr>
        <w:pStyle w:val="TOC2"/>
        <w:rPr>
          <w:rFonts w:asciiTheme="minorHAnsi" w:hAnsiTheme="minorHAnsi"/>
          <w:noProof/>
          <w:sz w:val="22"/>
          <w:lang w:eastAsia="en-US"/>
        </w:rPr>
      </w:pPr>
      <w:hyperlink w:anchor="_Toc462233220"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First-time generic for Ziana</w:t>
        </w:r>
      </w:hyperlink>
    </w:p>
    <w:p w:rsidR="00470B98" w:rsidRDefault="00F41810">
      <w:pPr>
        <w:pStyle w:val="TOC2"/>
        <w:rPr>
          <w:rFonts w:asciiTheme="minorHAnsi" w:hAnsiTheme="minorHAnsi"/>
          <w:noProof/>
          <w:sz w:val="22"/>
          <w:lang w:eastAsia="en-US"/>
        </w:rPr>
      </w:pPr>
      <w:hyperlink w:anchor="_Toc462233221"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New extended-release combo for type 2 diabetes</w:t>
        </w:r>
      </w:hyperlink>
    </w:p>
    <w:p w:rsidR="00470B98" w:rsidRDefault="00F41810">
      <w:pPr>
        <w:pStyle w:val="TOC2"/>
        <w:rPr>
          <w:rFonts w:asciiTheme="minorHAnsi" w:hAnsiTheme="minorHAnsi"/>
          <w:noProof/>
          <w:sz w:val="22"/>
          <w:lang w:eastAsia="en-US"/>
        </w:rPr>
      </w:pPr>
      <w:hyperlink w:anchor="_Toc462233222"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Epclusa Approved for All Major HCV Genotypes</w:t>
        </w:r>
      </w:hyperlink>
    </w:p>
    <w:p w:rsidR="00470B98" w:rsidRDefault="00F41810">
      <w:pPr>
        <w:pStyle w:val="TOC2"/>
        <w:rPr>
          <w:rFonts w:asciiTheme="minorHAnsi" w:hAnsiTheme="minorHAnsi"/>
          <w:noProof/>
          <w:sz w:val="22"/>
          <w:lang w:eastAsia="en-US"/>
        </w:rPr>
      </w:pPr>
      <w:hyperlink w:anchor="_Toc462233223"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Expanded GERD indication in pediatric patients ages 12 years and older</w:t>
        </w:r>
      </w:hyperlink>
    </w:p>
    <w:p w:rsidR="00470B98" w:rsidRDefault="00F41810">
      <w:pPr>
        <w:pStyle w:val="TOC2"/>
        <w:rPr>
          <w:rFonts w:asciiTheme="minorHAnsi" w:hAnsiTheme="minorHAnsi"/>
          <w:noProof/>
          <w:sz w:val="22"/>
          <w:lang w:eastAsia="en-US"/>
        </w:rPr>
      </w:pPr>
      <w:hyperlink w:anchor="_Toc462233224"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New indication for uveitis</w:t>
        </w:r>
      </w:hyperlink>
    </w:p>
    <w:p w:rsidR="00470B98" w:rsidRDefault="00F41810">
      <w:pPr>
        <w:pStyle w:val="TOC2"/>
        <w:rPr>
          <w:rFonts w:asciiTheme="minorHAnsi" w:hAnsiTheme="minorHAnsi"/>
          <w:noProof/>
          <w:sz w:val="22"/>
          <w:lang w:eastAsia="en-US"/>
        </w:rPr>
      </w:pPr>
      <w:hyperlink w:anchor="_Toc462233225"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FDA Drug Safety Communication: FDA warns about serious risks and death when combining opioid pain or cough medicines with benzodiazepines; requires its strongest warning</w:t>
        </w:r>
      </w:hyperlink>
    </w:p>
    <w:p w:rsidR="00470B98" w:rsidRDefault="00F41810">
      <w:pPr>
        <w:pStyle w:val="TOC2"/>
        <w:rPr>
          <w:rFonts w:asciiTheme="minorHAnsi" w:hAnsiTheme="minorHAnsi"/>
          <w:noProof/>
          <w:sz w:val="22"/>
          <w:lang w:eastAsia="en-US"/>
        </w:rPr>
      </w:pPr>
      <w:hyperlink w:anchor="_Toc462233226"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Medications Requiring Renal Dosage Adjustments</w:t>
        </w:r>
      </w:hyperlink>
    </w:p>
    <w:p w:rsidR="00470B98" w:rsidRDefault="00F41810">
      <w:pPr>
        <w:pStyle w:val="TOC2"/>
        <w:rPr>
          <w:rFonts w:asciiTheme="minorHAnsi" w:hAnsiTheme="minorHAnsi"/>
          <w:noProof/>
          <w:sz w:val="22"/>
          <w:lang w:eastAsia="en-US"/>
        </w:rPr>
      </w:pPr>
      <w:hyperlink w:anchor="_Toc462233227"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220% increase in adverse reactions to zolpidem</w:t>
        </w:r>
      </w:hyperlink>
    </w:p>
    <w:p w:rsidR="00470B98" w:rsidRDefault="00F41810">
      <w:pPr>
        <w:pStyle w:val="TOC2"/>
        <w:rPr>
          <w:rFonts w:asciiTheme="minorHAnsi" w:hAnsiTheme="minorHAnsi"/>
          <w:noProof/>
          <w:sz w:val="22"/>
          <w:lang w:eastAsia="en-US"/>
        </w:rPr>
      </w:pPr>
      <w:hyperlink w:anchor="_Toc462233228"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Could memory loss be reversed with a common painkiller?</w:t>
        </w:r>
      </w:hyperlink>
    </w:p>
    <w:p w:rsidR="00470B98" w:rsidRDefault="00F41810">
      <w:pPr>
        <w:pStyle w:val="TOC2"/>
        <w:rPr>
          <w:rFonts w:asciiTheme="minorHAnsi" w:hAnsiTheme="minorHAnsi"/>
          <w:noProof/>
          <w:sz w:val="22"/>
          <w:lang w:eastAsia="en-US"/>
        </w:rPr>
      </w:pPr>
      <w:hyperlink w:anchor="_Toc462233229"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DSN, Becton Dickinson team up to help educate community pharmacies about injectable diabetes treatments</w:t>
        </w:r>
      </w:hyperlink>
    </w:p>
    <w:p w:rsidR="00470B98" w:rsidRDefault="00F41810">
      <w:pPr>
        <w:pStyle w:val="TOC2"/>
        <w:rPr>
          <w:rFonts w:asciiTheme="minorHAnsi" w:hAnsiTheme="minorHAnsi"/>
          <w:noProof/>
          <w:sz w:val="22"/>
          <w:lang w:eastAsia="en-US"/>
        </w:rPr>
      </w:pPr>
      <w:hyperlink w:anchor="_Toc462233230"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Codeine not safe for kids, AAP warns</w:t>
        </w:r>
      </w:hyperlink>
    </w:p>
    <w:p w:rsidR="00470B98" w:rsidRDefault="00F41810">
      <w:pPr>
        <w:pStyle w:val="TOC2"/>
        <w:rPr>
          <w:rFonts w:asciiTheme="minorHAnsi" w:hAnsiTheme="minorHAnsi"/>
          <w:noProof/>
          <w:sz w:val="22"/>
          <w:lang w:eastAsia="en-US"/>
        </w:rPr>
      </w:pPr>
      <w:hyperlink w:anchor="_Toc462233231"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Levothyroxine for Hypothyroidism: Can Bedtime Administration Be a Viable Option?</w:t>
        </w:r>
      </w:hyperlink>
    </w:p>
    <w:p w:rsidR="00470B98" w:rsidRDefault="00F41810">
      <w:pPr>
        <w:pStyle w:val="TOC2"/>
        <w:rPr>
          <w:rFonts w:asciiTheme="minorHAnsi" w:hAnsiTheme="minorHAnsi"/>
          <w:noProof/>
          <w:sz w:val="22"/>
          <w:lang w:eastAsia="en-US"/>
        </w:rPr>
      </w:pPr>
      <w:hyperlink w:anchor="_Toc462233232"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Dexamethasone-based Mouthwash for Stomatitis Prevention</w:t>
        </w:r>
      </w:hyperlink>
    </w:p>
    <w:p w:rsidR="00470B98" w:rsidRDefault="00F41810">
      <w:pPr>
        <w:pStyle w:val="TOC2"/>
        <w:rPr>
          <w:rFonts w:asciiTheme="minorHAnsi" w:hAnsiTheme="minorHAnsi"/>
          <w:noProof/>
          <w:sz w:val="22"/>
          <w:lang w:eastAsia="en-US"/>
        </w:rPr>
      </w:pPr>
      <w:hyperlink w:anchor="_Toc462233233"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Notice of NDC Change from Arbor Pharmaceuticals, LLC</w:t>
        </w:r>
      </w:hyperlink>
    </w:p>
    <w:p w:rsidR="00470B98" w:rsidRDefault="00F41810">
      <w:pPr>
        <w:pStyle w:val="TOC1"/>
        <w:tabs>
          <w:tab w:val="right" w:leader="dot" w:pos="4814"/>
        </w:tabs>
        <w:rPr>
          <w:rFonts w:asciiTheme="minorHAnsi" w:eastAsiaTheme="minorEastAsia" w:hAnsiTheme="minorHAnsi"/>
          <w:noProof/>
          <w:sz w:val="22"/>
        </w:rPr>
      </w:pPr>
      <w:hyperlink w:anchor="_Toc462233234" w:history="1">
        <w:r w:rsidR="00470B98" w:rsidRPr="00523F02">
          <w:rPr>
            <w:rStyle w:val="Hyperlink"/>
            <w:noProof/>
          </w:rPr>
          <w:t>HOSPITAL</w:t>
        </w:r>
      </w:hyperlink>
    </w:p>
    <w:p w:rsidR="00470B98" w:rsidRDefault="00F41810">
      <w:pPr>
        <w:pStyle w:val="TOC2"/>
        <w:rPr>
          <w:rFonts w:asciiTheme="minorHAnsi" w:hAnsiTheme="minorHAnsi"/>
          <w:noProof/>
          <w:sz w:val="22"/>
          <w:lang w:eastAsia="en-US"/>
        </w:rPr>
      </w:pPr>
      <w:hyperlink w:anchor="_Toc462233235"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5 Tips to Improve Your HCAHPS Scores</w:t>
        </w:r>
      </w:hyperlink>
    </w:p>
    <w:p w:rsidR="00470B98" w:rsidRDefault="00F41810">
      <w:pPr>
        <w:pStyle w:val="TOC1"/>
        <w:tabs>
          <w:tab w:val="right" w:leader="dot" w:pos="4814"/>
        </w:tabs>
        <w:rPr>
          <w:rFonts w:asciiTheme="minorHAnsi" w:eastAsiaTheme="minorEastAsia" w:hAnsiTheme="minorHAnsi"/>
          <w:noProof/>
          <w:sz w:val="22"/>
        </w:rPr>
      </w:pPr>
      <w:hyperlink w:anchor="_Toc462233236" w:history="1">
        <w:r w:rsidR="00470B98" w:rsidRPr="00523F02">
          <w:rPr>
            <w:rStyle w:val="Hyperlink"/>
            <w:noProof/>
          </w:rPr>
          <w:t>FDA</w:t>
        </w:r>
      </w:hyperlink>
    </w:p>
    <w:p w:rsidR="00470B98" w:rsidRDefault="00F41810">
      <w:pPr>
        <w:pStyle w:val="TOC2"/>
        <w:rPr>
          <w:rFonts w:asciiTheme="minorHAnsi" w:hAnsiTheme="minorHAnsi"/>
          <w:noProof/>
          <w:sz w:val="22"/>
          <w:lang w:eastAsia="en-US"/>
        </w:rPr>
      </w:pPr>
      <w:hyperlink w:anchor="_Toc462233237"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Warnings updated due to disabling side effects</w:t>
        </w:r>
      </w:hyperlink>
    </w:p>
    <w:p w:rsidR="00470B98" w:rsidRDefault="00F41810">
      <w:pPr>
        <w:pStyle w:val="TOC2"/>
        <w:rPr>
          <w:rFonts w:asciiTheme="minorHAnsi" w:hAnsiTheme="minorHAnsi"/>
          <w:noProof/>
          <w:sz w:val="22"/>
          <w:lang w:eastAsia="en-US"/>
        </w:rPr>
      </w:pPr>
      <w:hyperlink w:anchor="_Toc462233238"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WEN by Chaz Dean Cleansing Conditioners - under investigation for adverse reactions</w:t>
        </w:r>
      </w:hyperlink>
    </w:p>
    <w:p w:rsidR="00470B98" w:rsidRDefault="00F41810">
      <w:pPr>
        <w:pStyle w:val="TOC2"/>
        <w:rPr>
          <w:rFonts w:asciiTheme="minorHAnsi" w:hAnsiTheme="minorHAnsi"/>
          <w:noProof/>
          <w:sz w:val="22"/>
          <w:lang w:eastAsia="en-US"/>
        </w:rPr>
      </w:pPr>
      <w:hyperlink w:anchor="_Toc462233239" w:history="1">
        <w:r w:rsidR="00470B98" w:rsidRPr="00523F02">
          <w:rPr>
            <w:rStyle w:val="Hyperlink"/>
            <w:rFonts w:ascii="Symbol" w:hAnsi="Symbol" w:cs="Helvetica"/>
            <w:noProof/>
          </w:rPr>
          <w:t></w:t>
        </w:r>
        <w:r w:rsidR="00470B98">
          <w:rPr>
            <w:rFonts w:asciiTheme="minorHAnsi" w:hAnsiTheme="minorHAnsi"/>
            <w:noProof/>
            <w:sz w:val="22"/>
            <w:lang w:eastAsia="en-US"/>
          </w:rPr>
          <w:tab/>
        </w:r>
        <w:r w:rsidR="00470B98" w:rsidRPr="00523F02">
          <w:rPr>
            <w:rStyle w:val="Hyperlink"/>
            <w:noProof/>
          </w:rPr>
          <w:t>Strengthened kidney warnings</w:t>
        </w:r>
      </w:hyperlink>
    </w:p>
    <w:p w:rsidR="00470B98" w:rsidRDefault="00F41810">
      <w:pPr>
        <w:pStyle w:val="TOC2"/>
        <w:rPr>
          <w:rFonts w:asciiTheme="minorHAnsi" w:hAnsiTheme="minorHAnsi"/>
          <w:noProof/>
          <w:sz w:val="22"/>
          <w:lang w:eastAsia="en-US"/>
        </w:rPr>
      </w:pPr>
      <w:hyperlink w:anchor="_Toc462233240"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FDA Drug Approvals and Changes: August Edition</w:t>
        </w:r>
      </w:hyperlink>
    </w:p>
    <w:p w:rsidR="00470B98" w:rsidRDefault="00F41810">
      <w:pPr>
        <w:pStyle w:val="TOC2"/>
        <w:rPr>
          <w:rFonts w:asciiTheme="minorHAnsi" w:hAnsiTheme="minorHAnsi"/>
          <w:noProof/>
          <w:sz w:val="22"/>
          <w:lang w:eastAsia="en-US"/>
        </w:rPr>
      </w:pPr>
      <w:hyperlink w:anchor="_Toc462233241"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FDA permits marketing of balloon device to treat persistent Eustachian tube dysfunction</w:t>
        </w:r>
      </w:hyperlink>
    </w:p>
    <w:p w:rsidR="00470B98" w:rsidRDefault="00F41810">
      <w:pPr>
        <w:pStyle w:val="TOC1"/>
        <w:tabs>
          <w:tab w:val="right" w:leader="dot" w:pos="4814"/>
        </w:tabs>
        <w:rPr>
          <w:rFonts w:asciiTheme="minorHAnsi" w:eastAsiaTheme="minorEastAsia" w:hAnsiTheme="minorHAnsi"/>
          <w:noProof/>
          <w:sz w:val="22"/>
        </w:rPr>
      </w:pPr>
      <w:hyperlink w:anchor="_Toc462233242" w:history="1">
        <w:r w:rsidR="00470B98" w:rsidRPr="00523F02">
          <w:rPr>
            <w:rStyle w:val="Hyperlink"/>
            <w:noProof/>
          </w:rPr>
          <w:t>IMMUNIZATIONS</w:t>
        </w:r>
      </w:hyperlink>
    </w:p>
    <w:p w:rsidR="00470B98" w:rsidRDefault="00F41810">
      <w:pPr>
        <w:pStyle w:val="TOC2"/>
        <w:rPr>
          <w:rFonts w:asciiTheme="minorHAnsi" w:hAnsiTheme="minorHAnsi"/>
          <w:noProof/>
          <w:sz w:val="22"/>
          <w:lang w:eastAsia="en-US"/>
        </w:rPr>
      </w:pPr>
      <w:hyperlink w:anchor="_Toc462233243"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Expanded immunization indication in adults 18-49 years</w:t>
        </w:r>
      </w:hyperlink>
    </w:p>
    <w:p w:rsidR="00470B98" w:rsidRDefault="00F41810">
      <w:pPr>
        <w:pStyle w:val="TOC2"/>
        <w:rPr>
          <w:rFonts w:asciiTheme="minorHAnsi" w:hAnsiTheme="minorHAnsi"/>
          <w:noProof/>
          <w:sz w:val="22"/>
          <w:lang w:eastAsia="en-US"/>
        </w:rPr>
      </w:pPr>
      <w:hyperlink w:anchor="_Toc462233244"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National, Regional, State, and Selected Local Area Vaccination Coverage among Adolescents Aged 13–17 Years — United States, 2015</w:t>
        </w:r>
      </w:hyperlink>
    </w:p>
    <w:p w:rsidR="00470B98" w:rsidRDefault="00F41810">
      <w:pPr>
        <w:pStyle w:val="TOC2"/>
        <w:rPr>
          <w:rFonts w:asciiTheme="minorHAnsi" w:hAnsiTheme="minorHAnsi"/>
          <w:noProof/>
          <w:sz w:val="22"/>
          <w:lang w:eastAsia="en-US"/>
        </w:rPr>
      </w:pPr>
      <w:hyperlink w:anchor="_Toc462233245"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CDC Vaccine Price List</w:t>
        </w:r>
      </w:hyperlink>
    </w:p>
    <w:p w:rsidR="00470B98" w:rsidRDefault="00F41810">
      <w:pPr>
        <w:pStyle w:val="TOC2"/>
        <w:rPr>
          <w:rFonts w:asciiTheme="minorHAnsi" w:hAnsiTheme="minorHAnsi"/>
          <w:noProof/>
          <w:sz w:val="22"/>
          <w:lang w:eastAsia="en-US"/>
        </w:rPr>
      </w:pPr>
      <w:hyperlink w:anchor="_Toc462233246"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CDC Provides Vaccine Recommendations for the 2016-2017 Influenza Season</w:t>
        </w:r>
      </w:hyperlink>
    </w:p>
    <w:p w:rsidR="00470B98" w:rsidRDefault="00F41810">
      <w:pPr>
        <w:pStyle w:val="TOC2"/>
        <w:rPr>
          <w:rFonts w:asciiTheme="minorHAnsi" w:hAnsiTheme="minorHAnsi"/>
          <w:noProof/>
          <w:sz w:val="22"/>
          <w:lang w:eastAsia="en-US"/>
        </w:rPr>
      </w:pPr>
      <w:hyperlink w:anchor="_Toc462233247"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CDC: New Vaccine Labels</w:t>
        </w:r>
      </w:hyperlink>
    </w:p>
    <w:p w:rsidR="00470B98" w:rsidRDefault="00F41810">
      <w:pPr>
        <w:pStyle w:val="TOC1"/>
        <w:tabs>
          <w:tab w:val="right" w:leader="dot" w:pos="4814"/>
        </w:tabs>
        <w:rPr>
          <w:rFonts w:asciiTheme="minorHAnsi" w:eastAsiaTheme="minorEastAsia" w:hAnsiTheme="minorHAnsi"/>
          <w:noProof/>
          <w:sz w:val="22"/>
        </w:rPr>
      </w:pPr>
      <w:hyperlink w:anchor="_Toc462233248" w:history="1">
        <w:r w:rsidR="00470B98" w:rsidRPr="00523F02">
          <w:rPr>
            <w:rStyle w:val="Hyperlink"/>
            <w:noProof/>
          </w:rPr>
          <w:t>INSURANCE</w:t>
        </w:r>
      </w:hyperlink>
    </w:p>
    <w:p w:rsidR="00470B98" w:rsidRDefault="00F41810">
      <w:pPr>
        <w:pStyle w:val="TOC2"/>
        <w:rPr>
          <w:rFonts w:asciiTheme="minorHAnsi" w:hAnsiTheme="minorHAnsi"/>
          <w:noProof/>
          <w:sz w:val="22"/>
          <w:lang w:eastAsia="en-US"/>
        </w:rPr>
      </w:pPr>
      <w:hyperlink w:anchor="_Toc462233249"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4 Ways Pharmacists Can Be Superheroes for Medicare Patients</w:t>
        </w:r>
      </w:hyperlink>
    </w:p>
    <w:p w:rsidR="00470B98" w:rsidRDefault="00F41810">
      <w:pPr>
        <w:pStyle w:val="TOC1"/>
        <w:tabs>
          <w:tab w:val="right" w:leader="dot" w:pos="4814"/>
        </w:tabs>
        <w:rPr>
          <w:rFonts w:asciiTheme="minorHAnsi" w:eastAsiaTheme="minorEastAsia" w:hAnsiTheme="minorHAnsi"/>
          <w:noProof/>
          <w:sz w:val="22"/>
        </w:rPr>
      </w:pPr>
      <w:hyperlink w:anchor="_Toc462233250" w:history="1">
        <w:r w:rsidR="00470B98" w:rsidRPr="00523F02">
          <w:rPr>
            <w:rStyle w:val="Hyperlink"/>
            <w:noProof/>
          </w:rPr>
          <w:t>NEWS</w:t>
        </w:r>
      </w:hyperlink>
    </w:p>
    <w:p w:rsidR="00470B98" w:rsidRDefault="00F41810">
      <w:pPr>
        <w:pStyle w:val="TOC2"/>
        <w:rPr>
          <w:rFonts w:asciiTheme="minorHAnsi" w:hAnsiTheme="minorHAnsi"/>
          <w:noProof/>
          <w:sz w:val="22"/>
          <w:lang w:eastAsia="en-US"/>
        </w:rPr>
      </w:pPr>
      <w:hyperlink w:anchor="_Toc462233251"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bCs/>
            <w:noProof/>
          </w:rPr>
          <w:t xml:space="preserve">CDC: Updated guidance for care of infants born to mothers with possible Zika infection during pregnancy </w:t>
        </w:r>
        <w:r w:rsidR="00470B98" w:rsidRPr="00523F02">
          <w:rPr>
            <w:rStyle w:val="Hyperlink"/>
            <w:noProof/>
          </w:rPr>
          <w:t>(08/19/16)</w:t>
        </w:r>
      </w:hyperlink>
    </w:p>
    <w:p w:rsidR="00470B98" w:rsidRDefault="00F41810">
      <w:pPr>
        <w:pStyle w:val="TOC2"/>
        <w:rPr>
          <w:rFonts w:asciiTheme="minorHAnsi" w:hAnsiTheme="minorHAnsi"/>
          <w:noProof/>
          <w:sz w:val="22"/>
          <w:lang w:eastAsia="en-US"/>
        </w:rPr>
      </w:pPr>
      <w:hyperlink w:anchor="_Toc462233252"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CDC: Valley Fever Awareness</w:t>
        </w:r>
      </w:hyperlink>
    </w:p>
    <w:p w:rsidR="00470B98" w:rsidRDefault="00F41810">
      <w:pPr>
        <w:pStyle w:val="TOC2"/>
        <w:rPr>
          <w:rFonts w:asciiTheme="minorHAnsi" w:hAnsiTheme="minorHAnsi"/>
          <w:noProof/>
          <w:sz w:val="22"/>
          <w:lang w:eastAsia="en-US"/>
        </w:rPr>
      </w:pPr>
      <w:hyperlink w:anchor="_Toc462233253"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FDA Declares ‘General Wellness’ Devices Exempt From Regulations</w:t>
        </w:r>
      </w:hyperlink>
    </w:p>
    <w:p w:rsidR="00470B98" w:rsidRDefault="00F41810">
      <w:pPr>
        <w:pStyle w:val="TOC2"/>
        <w:rPr>
          <w:rFonts w:asciiTheme="minorHAnsi" w:hAnsiTheme="minorHAnsi"/>
          <w:noProof/>
          <w:sz w:val="22"/>
          <w:lang w:eastAsia="en-US"/>
        </w:rPr>
      </w:pPr>
      <w:hyperlink w:anchor="_Toc462233254" w:history="1">
        <w:r w:rsidR="00470B98" w:rsidRPr="00523F02">
          <w:rPr>
            <w:rStyle w:val="Hyperlink"/>
            <w:rFonts w:ascii="Symbol" w:hAnsi="Symbol"/>
            <w:noProof/>
            <w:lang w:val="en"/>
          </w:rPr>
          <w:t></w:t>
        </w:r>
        <w:r w:rsidR="00470B98">
          <w:rPr>
            <w:rFonts w:asciiTheme="minorHAnsi" w:hAnsiTheme="minorHAnsi"/>
            <w:noProof/>
            <w:sz w:val="22"/>
            <w:lang w:eastAsia="en-US"/>
          </w:rPr>
          <w:tab/>
        </w:r>
        <w:r w:rsidR="00470B98" w:rsidRPr="00523F02">
          <w:rPr>
            <w:rStyle w:val="Hyperlink"/>
            <w:noProof/>
          </w:rPr>
          <w:t>DEA Announces Intent to Schedule Kratom - For immediate release</w:t>
        </w:r>
      </w:hyperlink>
    </w:p>
    <w:p w:rsidR="00470B98" w:rsidRDefault="00F41810">
      <w:pPr>
        <w:pStyle w:val="TOC2"/>
        <w:rPr>
          <w:rFonts w:asciiTheme="minorHAnsi" w:hAnsiTheme="minorHAnsi"/>
          <w:noProof/>
          <w:sz w:val="22"/>
          <w:lang w:eastAsia="en-US"/>
        </w:rPr>
      </w:pPr>
      <w:hyperlink w:anchor="_Toc462233255"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Drug Topic – Resource Center</w:t>
        </w:r>
      </w:hyperlink>
    </w:p>
    <w:p w:rsidR="00470B98" w:rsidRDefault="00F41810">
      <w:pPr>
        <w:pStyle w:val="TOC2"/>
        <w:rPr>
          <w:rFonts w:asciiTheme="minorHAnsi" w:hAnsiTheme="minorHAnsi"/>
          <w:noProof/>
          <w:sz w:val="22"/>
          <w:lang w:eastAsia="en-US"/>
        </w:rPr>
      </w:pPr>
      <w:hyperlink w:anchor="_Toc462233256"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4 Things Pharmacists Should Know About Opioid-Induced Constipation</w:t>
        </w:r>
      </w:hyperlink>
    </w:p>
    <w:p w:rsidR="00470B98" w:rsidRDefault="00F41810">
      <w:pPr>
        <w:pStyle w:val="TOC2"/>
        <w:rPr>
          <w:rFonts w:asciiTheme="minorHAnsi" w:hAnsiTheme="minorHAnsi"/>
          <w:noProof/>
          <w:sz w:val="22"/>
          <w:lang w:eastAsia="en-US"/>
        </w:rPr>
      </w:pPr>
      <w:hyperlink w:anchor="_Toc462233257"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Video: How Pharmacists Can Help Prevent OIC</w:t>
        </w:r>
      </w:hyperlink>
    </w:p>
    <w:p w:rsidR="00470B98" w:rsidRDefault="00F41810">
      <w:pPr>
        <w:pStyle w:val="TOC2"/>
        <w:rPr>
          <w:rFonts w:asciiTheme="minorHAnsi" w:hAnsiTheme="minorHAnsi"/>
          <w:noProof/>
          <w:sz w:val="22"/>
          <w:lang w:eastAsia="en-US"/>
        </w:rPr>
      </w:pPr>
      <w:hyperlink w:anchor="_Toc462233258"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Video: Steps Pharmacists Should Take to Reduce OIC</w:t>
        </w:r>
      </w:hyperlink>
    </w:p>
    <w:p w:rsidR="00470B98" w:rsidRDefault="00F41810">
      <w:pPr>
        <w:pStyle w:val="TOC2"/>
        <w:rPr>
          <w:rFonts w:asciiTheme="minorHAnsi" w:hAnsiTheme="minorHAnsi"/>
          <w:noProof/>
          <w:sz w:val="22"/>
          <w:lang w:eastAsia="en-US"/>
        </w:rPr>
      </w:pPr>
      <w:hyperlink w:anchor="_Toc462233259"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NAN Alert – Observe for possible fluid leakage when preparing parenteral syringes</w:t>
        </w:r>
      </w:hyperlink>
    </w:p>
    <w:p w:rsidR="00470B98" w:rsidRDefault="00F41810">
      <w:pPr>
        <w:pStyle w:val="TOC2"/>
        <w:rPr>
          <w:rFonts w:asciiTheme="minorHAnsi" w:hAnsiTheme="minorHAnsi"/>
          <w:noProof/>
          <w:sz w:val="22"/>
          <w:lang w:eastAsia="en-US"/>
        </w:rPr>
      </w:pPr>
      <w:hyperlink w:anchor="_Toc462233260"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Splenda launches stevia sweetener</w:t>
        </w:r>
      </w:hyperlink>
    </w:p>
    <w:p w:rsidR="00470B98" w:rsidRDefault="00F41810">
      <w:pPr>
        <w:pStyle w:val="TOC2"/>
        <w:rPr>
          <w:rFonts w:asciiTheme="minorHAnsi" w:hAnsiTheme="minorHAnsi"/>
          <w:noProof/>
          <w:sz w:val="22"/>
          <w:lang w:eastAsia="en-US"/>
        </w:rPr>
      </w:pPr>
      <w:hyperlink w:anchor="_Toc462233261"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PrescribeWellness partners with Independent Pharmacy Alliance</w:t>
        </w:r>
      </w:hyperlink>
    </w:p>
    <w:p w:rsidR="00470B98" w:rsidRDefault="00F41810">
      <w:pPr>
        <w:pStyle w:val="TOC2"/>
        <w:rPr>
          <w:rFonts w:asciiTheme="minorHAnsi" w:hAnsiTheme="minorHAnsi"/>
          <w:noProof/>
          <w:sz w:val="22"/>
          <w:lang w:eastAsia="en-US"/>
        </w:rPr>
      </w:pPr>
      <w:hyperlink w:anchor="_Toc462233262"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Many With Diabetes Missing Out on Statins</w:t>
        </w:r>
      </w:hyperlink>
    </w:p>
    <w:p w:rsidR="00470B98" w:rsidRDefault="00F41810">
      <w:pPr>
        <w:pStyle w:val="TOC2"/>
        <w:rPr>
          <w:rFonts w:asciiTheme="minorHAnsi" w:hAnsiTheme="minorHAnsi"/>
          <w:noProof/>
          <w:sz w:val="22"/>
          <w:lang w:eastAsia="en-US"/>
        </w:rPr>
      </w:pPr>
      <w:hyperlink w:anchor="_Toc462233263"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Zika Found in Eye Fluid in Study</w:t>
        </w:r>
      </w:hyperlink>
    </w:p>
    <w:p w:rsidR="00470B98" w:rsidRDefault="00F41810">
      <w:pPr>
        <w:pStyle w:val="TOC2"/>
        <w:rPr>
          <w:rFonts w:asciiTheme="minorHAnsi" w:hAnsiTheme="minorHAnsi"/>
          <w:noProof/>
          <w:sz w:val="22"/>
          <w:lang w:eastAsia="en-US"/>
        </w:rPr>
      </w:pPr>
      <w:hyperlink w:anchor="_Toc462233264"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Teva Says Hoping to Launch EpiPen-Like Device by 2018 in U.S.</w:t>
        </w:r>
      </w:hyperlink>
    </w:p>
    <w:p w:rsidR="00470B98" w:rsidRDefault="00F41810">
      <w:pPr>
        <w:pStyle w:val="TOC1"/>
        <w:tabs>
          <w:tab w:val="right" w:leader="dot" w:pos="4814"/>
        </w:tabs>
        <w:rPr>
          <w:rFonts w:asciiTheme="minorHAnsi" w:eastAsiaTheme="minorEastAsia" w:hAnsiTheme="minorHAnsi"/>
          <w:noProof/>
          <w:sz w:val="22"/>
        </w:rPr>
      </w:pPr>
      <w:hyperlink w:anchor="_Toc462233265" w:history="1">
        <w:r w:rsidR="00470B98" w:rsidRPr="00523F02">
          <w:rPr>
            <w:rStyle w:val="Hyperlink"/>
            <w:noProof/>
          </w:rPr>
          <w:t>TOOLS AND RESOURCES</w:t>
        </w:r>
      </w:hyperlink>
    </w:p>
    <w:p w:rsidR="00470B98" w:rsidRDefault="00F41810">
      <w:pPr>
        <w:pStyle w:val="TOC2"/>
        <w:rPr>
          <w:rFonts w:asciiTheme="minorHAnsi" w:hAnsiTheme="minorHAnsi"/>
          <w:noProof/>
          <w:sz w:val="22"/>
          <w:lang w:eastAsia="en-US"/>
        </w:rPr>
      </w:pPr>
      <w:hyperlink w:anchor="_Toc462233266" w:history="1">
        <w:r w:rsidR="00470B98" w:rsidRPr="00523F02">
          <w:rPr>
            <w:rStyle w:val="Hyperlink"/>
            <w:rFonts w:ascii="Symbol" w:hAnsi="Symbol"/>
            <w:noProof/>
          </w:rPr>
          <w:t></w:t>
        </w:r>
        <w:r w:rsidR="00470B98">
          <w:rPr>
            <w:rFonts w:asciiTheme="minorHAnsi" w:hAnsiTheme="minorHAnsi"/>
            <w:noProof/>
            <w:sz w:val="22"/>
            <w:lang w:eastAsia="en-US"/>
          </w:rPr>
          <w:tab/>
        </w:r>
        <w:r w:rsidR="00470B98" w:rsidRPr="00523F02">
          <w:rPr>
            <w:rStyle w:val="Hyperlink"/>
            <w:noProof/>
          </w:rPr>
          <w:t>CDC: Tools and Materials for Your Office</w:t>
        </w:r>
      </w:hyperlink>
    </w:p>
    <w:p w:rsidR="00B942F9" w:rsidRDefault="00B942F9" w:rsidP="00B942F9">
      <w:pPr>
        <w:pStyle w:val="TOC1"/>
        <w:tabs>
          <w:tab w:val="right" w:leader="dot" w:pos="4814"/>
        </w:tabs>
      </w:pPr>
      <w:r>
        <w:fldChar w:fldCharType="end"/>
      </w:r>
      <w:r>
        <w:t xml:space="preserve"> </w:t>
      </w:r>
    </w:p>
    <w:p w:rsidR="002B453E" w:rsidRDefault="002B453E" w:rsidP="00F428D4">
      <w:pPr>
        <w:pStyle w:val="TOC2"/>
        <w:sectPr w:rsidR="002B453E" w:rsidSect="00157459">
          <w:type w:val="continuous"/>
          <w:pgSz w:w="12240" w:h="15840"/>
          <w:pgMar w:top="432" w:right="1296" w:bottom="432" w:left="864" w:header="720" w:footer="720" w:gutter="0"/>
          <w:cols w:num="2" w:sep="1" w:space="432"/>
          <w:docGrid w:linePitch="360"/>
        </w:sectPr>
      </w:pPr>
    </w:p>
    <w:p w:rsidR="00F95E70" w:rsidRPr="00584FDC" w:rsidRDefault="00F95E70" w:rsidP="002D7172">
      <w:pPr>
        <w:pStyle w:val="Heading1"/>
        <w:rPr>
          <w:rFonts w:asciiTheme="minorHAnsi" w:hAnsiTheme="minorHAnsi"/>
          <w:sz w:val="16"/>
          <w:szCs w:val="16"/>
        </w:rPr>
      </w:pPr>
      <w:bookmarkStart w:id="2" w:name="_Toc462066435"/>
      <w:bookmarkStart w:id="3" w:name="_Toc462233214"/>
      <w:r w:rsidRPr="00584FDC">
        <w:rPr>
          <w:rFonts w:asciiTheme="minorHAnsi" w:hAnsiTheme="minorHAnsi"/>
          <w:sz w:val="16"/>
          <w:szCs w:val="16"/>
        </w:rPr>
        <w:lastRenderedPageBreak/>
        <w:t>R</w:t>
      </w:r>
      <w:bookmarkEnd w:id="1"/>
      <w:r w:rsidR="001C0FB6" w:rsidRPr="00584FDC">
        <w:rPr>
          <w:rFonts w:asciiTheme="minorHAnsi" w:hAnsiTheme="minorHAnsi"/>
          <w:sz w:val="16"/>
          <w:szCs w:val="16"/>
        </w:rPr>
        <w:t>ECALLS</w:t>
      </w:r>
      <w:bookmarkEnd w:id="2"/>
      <w:bookmarkEnd w:id="3"/>
    </w:p>
    <w:p w:rsidR="005037E0" w:rsidRPr="00584FDC" w:rsidRDefault="005037E0" w:rsidP="005037E0">
      <w:pPr>
        <w:pStyle w:val="Heading2"/>
        <w:rPr>
          <w:sz w:val="16"/>
          <w:szCs w:val="16"/>
        </w:rPr>
      </w:pPr>
      <w:bookmarkStart w:id="4" w:name="_Toc462066436"/>
      <w:bookmarkStart w:id="5" w:name="_Toc462233215"/>
      <w:r w:rsidRPr="00584FDC">
        <w:rPr>
          <w:sz w:val="16"/>
          <w:szCs w:val="16"/>
        </w:rPr>
        <w:t xml:space="preserve">Recalled due to </w:t>
      </w:r>
      <w:r w:rsidRPr="00584FDC">
        <w:rPr>
          <w:i/>
          <w:iCs/>
          <w:sz w:val="16"/>
          <w:szCs w:val="16"/>
        </w:rPr>
        <w:t>Burkholderia cepacia</w:t>
      </w:r>
      <w:r w:rsidRPr="00584FDC">
        <w:rPr>
          <w:sz w:val="16"/>
          <w:szCs w:val="16"/>
        </w:rPr>
        <w:t xml:space="preserve"> contamination</w:t>
      </w:r>
      <w:bookmarkEnd w:id="4"/>
      <w:bookmarkEnd w:id="5"/>
    </w:p>
    <w:p w:rsidR="007E20DF" w:rsidRPr="00584FDC" w:rsidRDefault="00F41810" w:rsidP="009B75C1">
      <w:pPr>
        <w:rPr>
          <w:rStyle w:val="Hyperlink"/>
          <w:rFonts w:asciiTheme="minorHAnsi" w:hAnsiTheme="minorHAnsi"/>
          <w:color w:val="1F4D78"/>
          <w:sz w:val="16"/>
          <w:szCs w:val="16"/>
          <w:u w:val="none"/>
        </w:rPr>
      </w:pPr>
      <w:hyperlink r:id="rId11" w:tooltip="FDA.gov" w:history="1">
        <w:r w:rsidR="005037E0" w:rsidRPr="00584FDC">
          <w:rPr>
            <w:rStyle w:val="Hyperlink"/>
            <w:rFonts w:asciiTheme="minorHAnsi" w:hAnsiTheme="minorHAnsi"/>
            <w:sz w:val="16"/>
            <w:szCs w:val="16"/>
          </w:rPr>
          <w:t>http://www.fda.gov/Safety/MedWatch/SafetyInformation/SafetyAlertsforHumanMedicalProducts/ucm511528.htm</w:t>
        </w:r>
      </w:hyperlink>
    </w:p>
    <w:p w:rsidR="005037E0" w:rsidRPr="00584FDC" w:rsidRDefault="006D2A14" w:rsidP="009B75C1">
      <w:bookmarkStart w:id="6" w:name="_Toc462066437"/>
      <w:bookmarkStart w:id="7" w:name="_Toc462233216"/>
      <w:r w:rsidRPr="00584FDC">
        <w:t xml:space="preserve">Zecuity (sumatriptan) Migraine Patch - </w:t>
      </w:r>
      <w:r w:rsidR="005037E0" w:rsidRPr="00584FDC">
        <w:t>Temporarily removed from market due to risk of burns and scars</w:t>
      </w:r>
      <w:bookmarkEnd w:id="6"/>
      <w:bookmarkEnd w:id="7"/>
    </w:p>
    <w:p w:rsidR="005037E0" w:rsidRPr="00584FDC" w:rsidRDefault="00F41810" w:rsidP="009B75C1">
      <w:pPr>
        <w:rPr>
          <w:rStyle w:val="Hyperlink"/>
          <w:rFonts w:asciiTheme="minorHAnsi" w:hAnsiTheme="minorHAnsi"/>
          <w:sz w:val="16"/>
          <w:szCs w:val="16"/>
        </w:rPr>
      </w:pPr>
      <w:hyperlink r:id="rId12" w:tooltip="FDA.gov" w:history="1">
        <w:r w:rsidR="005037E0" w:rsidRPr="00584FDC">
          <w:rPr>
            <w:rStyle w:val="Hyperlink"/>
            <w:rFonts w:asciiTheme="minorHAnsi" w:hAnsiTheme="minorHAnsi"/>
            <w:sz w:val="16"/>
            <w:szCs w:val="16"/>
          </w:rPr>
          <w:t>http://www.fda.gov/Safety/MedWatch/SafetyInformation/SafetyAlertsforHumanMedicalProducts/ucm504736.htm</w:t>
        </w:r>
      </w:hyperlink>
    </w:p>
    <w:p w:rsidR="00584FDC" w:rsidRDefault="00584FDC" w:rsidP="00C079F8">
      <w:pPr>
        <w:pStyle w:val="Heading1"/>
        <w:rPr>
          <w:rFonts w:asciiTheme="minorHAnsi" w:hAnsiTheme="minorHAnsi"/>
          <w:sz w:val="16"/>
          <w:szCs w:val="16"/>
        </w:rPr>
      </w:pPr>
      <w:bookmarkStart w:id="8" w:name="note1"/>
      <w:bookmarkStart w:id="9" w:name="why"/>
      <w:bookmarkStart w:id="10" w:name="I"/>
      <w:bookmarkStart w:id="11" w:name="_Toc462233217"/>
      <w:bookmarkStart w:id="12" w:name="_Toc457284418"/>
      <w:bookmarkStart w:id="13" w:name="_Toc462066438"/>
      <w:bookmarkEnd w:id="8"/>
      <w:bookmarkEnd w:id="9"/>
      <w:bookmarkEnd w:id="10"/>
      <w:r>
        <w:rPr>
          <w:rFonts w:asciiTheme="minorHAnsi" w:hAnsiTheme="minorHAnsi"/>
          <w:sz w:val="16"/>
          <w:szCs w:val="16"/>
        </w:rPr>
        <w:t>SHORTAGES</w:t>
      </w:r>
      <w:bookmarkEnd w:id="11"/>
    </w:p>
    <w:p w:rsidR="00584FDC" w:rsidRDefault="00584FDC" w:rsidP="00584FDC">
      <w:pPr>
        <w:pStyle w:val="Heading2"/>
        <w:rPr>
          <w:sz w:val="16"/>
          <w:szCs w:val="16"/>
        </w:rPr>
      </w:pPr>
      <w:bookmarkStart w:id="14" w:name="_Toc462233218"/>
      <w:r w:rsidRPr="00584FDC">
        <w:rPr>
          <w:sz w:val="16"/>
          <w:szCs w:val="16"/>
        </w:rPr>
        <w:t>FDA Drug Shortages</w:t>
      </w:r>
      <w:bookmarkEnd w:id="14"/>
    </w:p>
    <w:p w:rsidR="00584FDC" w:rsidRPr="00584FDC" w:rsidRDefault="00584FDC" w:rsidP="00584FDC">
      <w:pPr>
        <w:pStyle w:val="Heading3"/>
        <w:numPr>
          <w:ilvl w:val="0"/>
          <w:numId w:val="6"/>
        </w:numPr>
        <w:ind w:left="1350"/>
        <w:rPr>
          <w:rStyle w:val="Hyperlink"/>
          <w:rFonts w:asciiTheme="minorHAnsi" w:hAnsiTheme="minorHAnsi"/>
          <w:sz w:val="16"/>
          <w:szCs w:val="16"/>
        </w:rPr>
      </w:pPr>
      <w:r w:rsidRPr="00584FDC">
        <w:rPr>
          <w:rStyle w:val="Hyperlink"/>
          <w:rFonts w:asciiTheme="minorHAnsi" w:hAnsiTheme="minorHAnsi"/>
          <w:sz w:val="16"/>
          <w:szCs w:val="16"/>
        </w:rPr>
        <w:t>http://www.fda.gov/downloads/Drugs/DrugSafety/DrugShortages/UCM163172.xml</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The drug shortage program, within the Center for Drug Evaluation and Research (CDER), addresses potential or actual shortages of prescription, over-the-counter, or generic drugs that have a significant impact on public health.</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Ammonium Chloride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Atropine Sulfate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Calcium Chloride Injection, USP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Calcium Gluconate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Cefepime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Dextrose Injection USP, 70%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Epinephrine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Fentanyl Citrate (Sublimaze)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Imipenem and Cilastatin for Injection, USP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Lidocaine Hydrochloride (Xylocaine)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LifeCare PCA™ Sterile Empty Vial and Injector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Morphine Sulfate Injection, USP, CII, (Preservative-Free)(For PCA Use Only)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Multi-Vitamin Infusion (Adult and Pediatric)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Piperacillin and Tazobactam (Zosyn)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Potassium Chloride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Sodium Acetate Injection, USP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Sodium Bicarbonate Injection, USP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Sodium Chloride 0.9% Injection Bags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Sodium Chloride 23.4%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Sufentanil Citrate (Sufenta)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Tobramycin Injection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Vancomycin Hydrochloride for Injection, USP (Updated - Currently in Shortage) Monday, September 19,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Etoposide Phosphate (Etopophos) Injection (New - Currently in Shortage) Friday, September 16,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lastRenderedPageBreak/>
        <w:t>Water-Miscible Vitamin A Palmitate (Aquasol A Parenteral) (New - Currently in Shortage) Friday, September 16,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Scopolamine (Transderm Scop) Transdermal System Patch (New - Currently in Shortage) Thursday, September 15, 2016 1:25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Penicillin G Procaine Injection (Updated - Currently in Shortage) Friday, September 09, 2016 1:22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Dexamethasone Sodium Phosphate Injection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Leucovorin Calcium Lyophilized Powder for Injection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Lidocaine Hydrochloride (Xylocaine) Injection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Piperacillin and Tazobactam (Zosyn) Injection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Potassium Chloride Injection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Sodium Acetate Injection, USP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Vancomycin Hydrochloride for Injection, USP (Updated - Currently in Shortage) Thursday, September 08, 2016 1:15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Reserpine Tablets (Updated - Discontinuation) Tuesday, August 30,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Triamcinolone Hexacetonide Injectable Suspension (Aristospan) (Updated - Discontinuation) Tuesday, August 30,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Bleomycin Sulfate for Injection (Updated - Currently in Shortage) Monday, August 29, 2016 1:12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Cefepime Injection (Updated - Currently in Shortage) Monday, August 29, 2016 1:12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Leucovorin Calcium Lyophilized Powder for Injection (Updated - Currently in Shortage) Monday, August 29, 2016 1:12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Piperacillin and Tazobactam (Zosyn) Injection (Updated - Currently in Shortage) Thursday, August 25, 2016 1:00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Penicillin G Benzathine (Bicillin L-A) Injection (Updated - Currently in Shortage) Wednesday, August 24, 2016 1:30 PM</w:t>
      </w:r>
    </w:p>
    <w:p w:rsidR="00584FDC" w:rsidRPr="00B942F9" w:rsidRDefault="00584FDC" w:rsidP="00B942F9">
      <w:pPr>
        <w:rPr>
          <w:rFonts w:asciiTheme="minorHAnsi" w:hAnsiTheme="minorHAnsi"/>
          <w:sz w:val="16"/>
          <w:szCs w:val="16"/>
        </w:rPr>
      </w:pPr>
      <w:r w:rsidRPr="00B942F9">
        <w:rPr>
          <w:rFonts w:asciiTheme="minorHAnsi" w:hAnsiTheme="minorHAnsi"/>
          <w:sz w:val="16"/>
          <w:szCs w:val="16"/>
        </w:rPr>
        <w:t>Penicillin G Procaine Injection (New - Currently in Shortage) Wednesday, August 24, 2016 1:30 PM</w:t>
      </w:r>
    </w:p>
    <w:p w:rsidR="00F95E70" w:rsidRPr="00584FDC" w:rsidRDefault="00F95E70" w:rsidP="00C079F8">
      <w:pPr>
        <w:pStyle w:val="Heading1"/>
        <w:rPr>
          <w:rFonts w:asciiTheme="minorHAnsi" w:hAnsiTheme="minorHAnsi"/>
          <w:sz w:val="16"/>
          <w:szCs w:val="16"/>
          <w:highlight w:val="yellow"/>
        </w:rPr>
      </w:pPr>
      <w:bookmarkStart w:id="15" w:name="_Toc462233219"/>
      <w:r w:rsidRPr="00584FDC">
        <w:rPr>
          <w:rFonts w:asciiTheme="minorHAnsi" w:hAnsiTheme="minorHAnsi"/>
          <w:sz w:val="16"/>
          <w:szCs w:val="16"/>
        </w:rPr>
        <w:t>DRUG</w:t>
      </w:r>
      <w:bookmarkEnd w:id="12"/>
      <w:bookmarkEnd w:id="13"/>
      <w:bookmarkEnd w:id="15"/>
      <w:r w:rsidRPr="00584FDC">
        <w:rPr>
          <w:rFonts w:asciiTheme="minorHAnsi" w:hAnsiTheme="minorHAnsi"/>
          <w:sz w:val="16"/>
          <w:szCs w:val="16"/>
          <w:highlight w:val="yellow"/>
        </w:rPr>
        <w:t xml:space="preserve"> </w:t>
      </w:r>
    </w:p>
    <w:p w:rsidR="00EC5FDF" w:rsidRPr="00584FDC" w:rsidRDefault="00EC5FDF" w:rsidP="007E20DF">
      <w:pPr>
        <w:pStyle w:val="Heading2"/>
        <w:rPr>
          <w:sz w:val="16"/>
          <w:szCs w:val="16"/>
        </w:rPr>
      </w:pPr>
      <w:bookmarkStart w:id="16" w:name="_Toc462066439"/>
      <w:bookmarkStart w:id="17" w:name="_Toc462233220"/>
      <w:r w:rsidRPr="00584FDC">
        <w:rPr>
          <w:sz w:val="16"/>
          <w:szCs w:val="16"/>
        </w:rPr>
        <w:t>First-time generic for Ziana</w:t>
      </w:r>
      <w:bookmarkEnd w:id="16"/>
      <w:bookmarkEnd w:id="17"/>
    </w:p>
    <w:p w:rsidR="00EC5FDF" w:rsidRPr="00584FDC" w:rsidRDefault="00F41810" w:rsidP="009B75C1">
      <w:pPr>
        <w:rPr>
          <w:rStyle w:val="Hyperlink"/>
          <w:rFonts w:asciiTheme="minorHAnsi" w:hAnsiTheme="minorHAnsi"/>
          <w:color w:val="1F4D78"/>
          <w:sz w:val="16"/>
          <w:szCs w:val="16"/>
          <w:u w:val="none"/>
        </w:rPr>
      </w:pPr>
      <w:hyperlink r:id="rId13" w:tooltip="Online.epocrates.com" w:history="1">
        <w:r w:rsidR="00EC5FDF" w:rsidRPr="00584FDC">
          <w:rPr>
            <w:rStyle w:val="Hyperlink"/>
            <w:rFonts w:asciiTheme="minorHAnsi" w:hAnsiTheme="minorHAnsi"/>
            <w:sz w:val="16"/>
            <w:szCs w:val="16"/>
          </w:rPr>
          <w:t>https://online.epocrates.com/u/10a4565/clindamycin-tretinoin+topical</w:t>
        </w:r>
      </w:hyperlink>
    </w:p>
    <w:p w:rsidR="00EC5FDF" w:rsidRPr="00584FDC" w:rsidRDefault="00EC5FDF" w:rsidP="007E20DF">
      <w:pPr>
        <w:pStyle w:val="Heading2"/>
        <w:rPr>
          <w:sz w:val="16"/>
          <w:szCs w:val="16"/>
        </w:rPr>
      </w:pPr>
      <w:bookmarkStart w:id="18" w:name="_Toc462066440"/>
      <w:bookmarkStart w:id="19" w:name="_Toc462233221"/>
      <w:r w:rsidRPr="00584FDC">
        <w:rPr>
          <w:sz w:val="16"/>
          <w:szCs w:val="16"/>
        </w:rPr>
        <w:t>New extended-release combo for type 2 diabetes</w:t>
      </w:r>
      <w:bookmarkEnd w:id="18"/>
      <w:bookmarkEnd w:id="19"/>
    </w:p>
    <w:p w:rsidR="00EC5FDF" w:rsidRPr="00584FDC" w:rsidRDefault="00F41810" w:rsidP="009B75C1">
      <w:pPr>
        <w:rPr>
          <w:rStyle w:val="Hyperlink"/>
          <w:rFonts w:asciiTheme="minorHAnsi" w:hAnsiTheme="minorHAnsi"/>
          <w:sz w:val="16"/>
          <w:szCs w:val="16"/>
        </w:rPr>
      </w:pPr>
      <w:hyperlink r:id="rId14" w:tooltip="online.epocrates.com" w:history="1">
        <w:r w:rsidR="00EC5FDF" w:rsidRPr="00584FDC">
          <w:rPr>
            <w:rStyle w:val="Hyperlink"/>
            <w:rFonts w:asciiTheme="minorHAnsi" w:hAnsiTheme="minorHAnsi"/>
            <w:sz w:val="16"/>
            <w:szCs w:val="16"/>
          </w:rPr>
          <w:t>https://online.epocrates.com/u/10a7548/Jentadueto+XR</w:t>
        </w:r>
      </w:hyperlink>
    </w:p>
    <w:p w:rsidR="00EC5FDF" w:rsidRPr="00584FDC" w:rsidRDefault="00EC5FDF" w:rsidP="007E20DF">
      <w:pPr>
        <w:pStyle w:val="Heading2"/>
        <w:rPr>
          <w:sz w:val="16"/>
          <w:szCs w:val="16"/>
        </w:rPr>
      </w:pPr>
      <w:bookmarkStart w:id="20" w:name="_Toc462066441"/>
      <w:bookmarkStart w:id="21" w:name="_Toc462233222"/>
      <w:r w:rsidRPr="00584FDC">
        <w:rPr>
          <w:sz w:val="16"/>
          <w:szCs w:val="16"/>
        </w:rPr>
        <w:t>Epclusa Approved for All Major HCV Genotypes</w:t>
      </w:r>
      <w:bookmarkEnd w:id="20"/>
      <w:bookmarkEnd w:id="21"/>
    </w:p>
    <w:p w:rsidR="00EC5FDF" w:rsidRPr="00584FDC" w:rsidRDefault="00F41810" w:rsidP="009B75C1">
      <w:pPr>
        <w:rPr>
          <w:rStyle w:val="Hyperlink"/>
          <w:rFonts w:asciiTheme="minorHAnsi" w:hAnsiTheme="minorHAnsi"/>
          <w:sz w:val="16"/>
          <w:szCs w:val="16"/>
        </w:rPr>
      </w:pPr>
      <w:hyperlink r:id="rId15" w:tooltip="online.epocrates.com" w:history="1">
        <w:r w:rsidR="00EC5FDF" w:rsidRPr="00584FDC">
          <w:rPr>
            <w:rStyle w:val="Hyperlink"/>
            <w:rFonts w:asciiTheme="minorHAnsi" w:hAnsiTheme="minorHAnsi"/>
            <w:sz w:val="16"/>
            <w:szCs w:val="16"/>
          </w:rPr>
          <w:t>https://online.epocrates.com/u/10a7547/Epclusa</w:t>
        </w:r>
      </w:hyperlink>
    </w:p>
    <w:p w:rsidR="00EC5FDF" w:rsidRPr="00584FDC" w:rsidRDefault="00EC5FDF" w:rsidP="007E20DF">
      <w:pPr>
        <w:pStyle w:val="Heading2"/>
        <w:rPr>
          <w:sz w:val="16"/>
          <w:szCs w:val="16"/>
        </w:rPr>
      </w:pPr>
      <w:bookmarkStart w:id="22" w:name="_Toc462066442"/>
      <w:bookmarkStart w:id="23" w:name="_Toc462233223"/>
      <w:r w:rsidRPr="00584FDC">
        <w:rPr>
          <w:sz w:val="16"/>
          <w:szCs w:val="16"/>
        </w:rPr>
        <w:t>Expanded GERD indication in pediatric patients ages 12 years and older</w:t>
      </w:r>
      <w:bookmarkEnd w:id="22"/>
      <w:bookmarkEnd w:id="23"/>
    </w:p>
    <w:p w:rsidR="00EC5FDF" w:rsidRPr="00584FDC" w:rsidRDefault="00F41810" w:rsidP="009B75C1">
      <w:pPr>
        <w:rPr>
          <w:rStyle w:val="Hyperlink"/>
          <w:rFonts w:asciiTheme="minorHAnsi" w:hAnsiTheme="minorHAnsi"/>
          <w:sz w:val="16"/>
          <w:szCs w:val="16"/>
        </w:rPr>
      </w:pPr>
      <w:hyperlink r:id="rId16" w:tooltip="online.epocrates.com" w:history="1">
        <w:r w:rsidR="00EC5FDF" w:rsidRPr="00584FDC">
          <w:rPr>
            <w:rStyle w:val="Hyperlink"/>
            <w:rFonts w:asciiTheme="minorHAnsi" w:hAnsiTheme="minorHAnsi"/>
            <w:sz w:val="16"/>
            <w:szCs w:val="16"/>
          </w:rPr>
          <w:t>https://online.epocrates.com/u/10a4917/Dexilant</w:t>
        </w:r>
      </w:hyperlink>
    </w:p>
    <w:p w:rsidR="00EC5FDF" w:rsidRPr="00584FDC" w:rsidRDefault="00F41810" w:rsidP="009B75C1">
      <w:pPr>
        <w:rPr>
          <w:rStyle w:val="Hyperlink"/>
          <w:rFonts w:asciiTheme="minorHAnsi" w:hAnsiTheme="minorHAnsi"/>
          <w:sz w:val="16"/>
          <w:szCs w:val="16"/>
        </w:rPr>
      </w:pPr>
      <w:hyperlink r:id="rId17" w:tooltip="online.epocrates.com" w:history="1">
        <w:r w:rsidR="00EC5FDF" w:rsidRPr="00584FDC">
          <w:rPr>
            <w:rStyle w:val="Hyperlink"/>
            <w:rFonts w:asciiTheme="minorHAnsi" w:hAnsiTheme="minorHAnsi"/>
            <w:sz w:val="16"/>
            <w:szCs w:val="16"/>
          </w:rPr>
          <w:t>https://online.epocrates.com/u/10a7510/Dexilant+SoluTab</w:t>
        </w:r>
      </w:hyperlink>
    </w:p>
    <w:p w:rsidR="00EC5FDF" w:rsidRPr="00584FDC" w:rsidRDefault="00EC5FDF" w:rsidP="007E20DF">
      <w:pPr>
        <w:pStyle w:val="Heading2"/>
        <w:rPr>
          <w:sz w:val="16"/>
          <w:szCs w:val="16"/>
        </w:rPr>
      </w:pPr>
      <w:bookmarkStart w:id="24" w:name="_Toc462066443"/>
      <w:bookmarkStart w:id="25" w:name="_Toc462233224"/>
      <w:r w:rsidRPr="00584FDC">
        <w:rPr>
          <w:sz w:val="16"/>
          <w:szCs w:val="16"/>
        </w:rPr>
        <w:t>New indication for uveitis</w:t>
      </w:r>
      <w:bookmarkEnd w:id="24"/>
      <w:bookmarkEnd w:id="25"/>
    </w:p>
    <w:p w:rsidR="00EC5FDF" w:rsidRPr="00584FDC" w:rsidRDefault="00F41810" w:rsidP="009B75C1">
      <w:pPr>
        <w:rPr>
          <w:rStyle w:val="Hyperlink"/>
          <w:rFonts w:asciiTheme="minorHAnsi" w:hAnsiTheme="minorHAnsi"/>
          <w:sz w:val="16"/>
          <w:szCs w:val="16"/>
        </w:rPr>
      </w:pPr>
      <w:hyperlink r:id="rId18" w:tooltip="online.epocrates.com" w:history="1">
        <w:r w:rsidR="00EC5FDF" w:rsidRPr="00584FDC">
          <w:rPr>
            <w:rStyle w:val="Hyperlink"/>
            <w:rFonts w:asciiTheme="minorHAnsi" w:hAnsiTheme="minorHAnsi"/>
            <w:sz w:val="16"/>
            <w:szCs w:val="16"/>
          </w:rPr>
          <w:t>https://online.epocrates.com/u/10a3301/Humira</w:t>
        </w:r>
      </w:hyperlink>
    </w:p>
    <w:p w:rsidR="006B587A" w:rsidRPr="00584FDC" w:rsidRDefault="006B587A" w:rsidP="009B75C1">
      <w:bookmarkStart w:id="26" w:name="_Toc462066444"/>
      <w:bookmarkStart w:id="27" w:name="_Toc462233225"/>
      <w:r w:rsidRPr="00584FDC">
        <w:t>FDA Drug Safety Communication: FDA warns about serious risks and death when combining opioid pain or cough medicines with benzodiazepines; requires its strongest warning</w:t>
      </w:r>
      <w:bookmarkEnd w:id="26"/>
      <w:bookmarkEnd w:id="27"/>
    </w:p>
    <w:p w:rsidR="006B587A" w:rsidRPr="00584FDC" w:rsidRDefault="00F41810" w:rsidP="009B75C1">
      <w:pPr>
        <w:rPr>
          <w:rStyle w:val="Hyperlink"/>
          <w:rFonts w:asciiTheme="minorHAnsi" w:hAnsiTheme="minorHAnsi"/>
          <w:sz w:val="16"/>
          <w:szCs w:val="16"/>
        </w:rPr>
      </w:pPr>
      <w:hyperlink r:id="rId19" w:tooltip="fda.gov" w:history="1">
        <w:r w:rsidR="006B587A" w:rsidRPr="00584FDC">
          <w:rPr>
            <w:rStyle w:val="Hyperlink"/>
            <w:rFonts w:asciiTheme="minorHAnsi" w:hAnsiTheme="minorHAnsi"/>
            <w:sz w:val="16"/>
            <w:szCs w:val="16"/>
          </w:rPr>
          <w:t>http://www.fda.gov/Drugs/DrugSafety/ucm518473.htm</w:t>
        </w:r>
      </w:hyperlink>
    </w:p>
    <w:p w:rsidR="00270E01" w:rsidRPr="00584FDC" w:rsidRDefault="00270E01" w:rsidP="00270E01">
      <w:pPr>
        <w:pStyle w:val="Heading2"/>
        <w:rPr>
          <w:sz w:val="16"/>
          <w:szCs w:val="16"/>
        </w:rPr>
      </w:pPr>
      <w:bookmarkStart w:id="28" w:name="_Toc462066445"/>
      <w:bookmarkStart w:id="29" w:name="_Toc462233226"/>
      <w:r w:rsidRPr="00584FDC">
        <w:rPr>
          <w:sz w:val="16"/>
          <w:szCs w:val="16"/>
        </w:rPr>
        <w:t>Medications Requiring Renal Dosage Adjustments</w:t>
      </w:r>
      <w:bookmarkEnd w:id="28"/>
      <w:bookmarkEnd w:id="29"/>
    </w:p>
    <w:p w:rsidR="006B587A" w:rsidRPr="00584FDC" w:rsidRDefault="00F41810" w:rsidP="009B75C1">
      <w:pPr>
        <w:rPr>
          <w:rStyle w:val="Hyperlink"/>
          <w:rFonts w:asciiTheme="minorHAnsi" w:hAnsiTheme="minorHAnsi"/>
          <w:sz w:val="16"/>
          <w:szCs w:val="16"/>
        </w:rPr>
      </w:pPr>
      <w:hyperlink r:id="rId20" w:history="1">
        <w:r w:rsidR="00270E01" w:rsidRPr="00584FDC">
          <w:rPr>
            <w:rStyle w:val="Hyperlink"/>
            <w:rFonts w:asciiTheme="minorHAnsi" w:hAnsiTheme="minorHAnsi"/>
            <w:sz w:val="16"/>
            <w:szCs w:val="16"/>
          </w:rPr>
          <w:t>http://www.pharmacytimes.com/contributor/shivam-patel-pharmd-candidate/2016/08/medications-requiring-renal-dosage-adjustments?utm_source=Informz&amp;utm_medium=Pharmacy+Times&amp;utm_campaign=PT%5FeNews%5FDaily%5FUnsponsored%5F8%2D19%2D16</w:t>
        </w:r>
      </w:hyperlink>
    </w:p>
    <w:p w:rsidR="00F32D93" w:rsidRPr="00584FDC" w:rsidRDefault="00F32D93" w:rsidP="00F32D93">
      <w:pPr>
        <w:pStyle w:val="Heading2"/>
        <w:rPr>
          <w:sz w:val="16"/>
          <w:szCs w:val="16"/>
        </w:rPr>
      </w:pPr>
      <w:bookmarkStart w:id="30" w:name="_Toc462066446"/>
      <w:bookmarkStart w:id="31" w:name="_Toc462233227"/>
      <w:r w:rsidRPr="00584FDC">
        <w:rPr>
          <w:sz w:val="16"/>
          <w:szCs w:val="16"/>
        </w:rPr>
        <w:lastRenderedPageBreak/>
        <w:t>220% increase in adverse reactions to zolpidem</w:t>
      </w:r>
      <w:bookmarkEnd w:id="30"/>
      <w:bookmarkEnd w:id="31"/>
    </w:p>
    <w:p w:rsidR="00F32D93" w:rsidRPr="00584FDC" w:rsidRDefault="00F41810" w:rsidP="009B75C1">
      <w:pPr>
        <w:rPr>
          <w:rStyle w:val="Hyperlink"/>
          <w:rFonts w:asciiTheme="minorHAnsi" w:hAnsiTheme="minorHAnsi"/>
          <w:sz w:val="16"/>
          <w:szCs w:val="16"/>
        </w:rPr>
      </w:pPr>
      <w:hyperlink r:id="rId21" w:history="1">
        <w:r w:rsidR="00F32D93" w:rsidRPr="00584FDC">
          <w:rPr>
            <w:rStyle w:val="Hyperlink"/>
            <w:rFonts w:asciiTheme="minorHAnsi" w:hAnsiTheme="minorHAnsi"/>
            <w:sz w:val="16"/>
            <w:szCs w:val="16"/>
          </w:rPr>
          <w:t>http://www.univadis.com/viewarticle/220-increase-in-adverse-reactions-to-zolpidem-441328?u=g7Nnk16ewgsJtuO1j0racp26fBgCcTuESKBOzIzYvrA95%2B5oYhgq6CU3D2hdiuQc&amp;utm_source=newsletter%20email&amp;utm_medium=email&amp;utm_campaign=ct-newsletter_wf-automated_fq-daily_cp-medicalupdates&amp;utm_content=1043558&amp;utm_term=automated_daily</w:t>
        </w:r>
      </w:hyperlink>
    </w:p>
    <w:p w:rsidR="00DD3AA4" w:rsidRPr="00584FDC" w:rsidRDefault="00DD3AA4" w:rsidP="00DD3AA4">
      <w:pPr>
        <w:pStyle w:val="Heading2"/>
        <w:rPr>
          <w:sz w:val="16"/>
          <w:szCs w:val="16"/>
        </w:rPr>
      </w:pPr>
      <w:bookmarkStart w:id="32" w:name="_Toc462066447"/>
      <w:bookmarkStart w:id="33" w:name="_Toc462233228"/>
      <w:r w:rsidRPr="00584FDC">
        <w:rPr>
          <w:sz w:val="16"/>
          <w:szCs w:val="16"/>
        </w:rPr>
        <w:t>Could memory loss be reversed with a common painkiller?</w:t>
      </w:r>
      <w:bookmarkEnd w:id="32"/>
      <w:bookmarkEnd w:id="33"/>
    </w:p>
    <w:p w:rsidR="00DD3AA4" w:rsidRPr="00584FDC" w:rsidRDefault="00F41810" w:rsidP="009A0491">
      <w:pPr>
        <w:pStyle w:val="ListParagraph"/>
        <w:numPr>
          <w:ilvl w:val="0"/>
          <w:numId w:val="10"/>
        </w:numPr>
        <w:ind w:left="1350"/>
        <w:rPr>
          <w:rStyle w:val="Hyperlink"/>
          <w:rFonts w:asciiTheme="minorHAnsi" w:hAnsiTheme="minorHAnsi"/>
          <w:sz w:val="16"/>
          <w:szCs w:val="16"/>
        </w:rPr>
      </w:pPr>
      <w:hyperlink r:id="rId22" w:tooltip="medicalnewstoday.com" w:history="1">
        <w:r w:rsidR="00DD3AA4" w:rsidRPr="00584FDC">
          <w:rPr>
            <w:rStyle w:val="Hyperlink"/>
            <w:rFonts w:asciiTheme="minorHAnsi" w:hAnsiTheme="minorHAnsi"/>
            <w:sz w:val="16"/>
            <w:szCs w:val="16"/>
          </w:rPr>
          <w:t>http://www.medicalnewstoday.com/articles/312262.php</w:t>
        </w:r>
      </w:hyperlink>
    </w:p>
    <w:p w:rsidR="00DA7E0E" w:rsidRPr="00584FDC" w:rsidRDefault="00DA7E0E" w:rsidP="009B75C1">
      <w:bookmarkStart w:id="34" w:name="_Toc462066448"/>
      <w:bookmarkStart w:id="35" w:name="_Toc462233229"/>
      <w:r w:rsidRPr="00584FDC">
        <w:t>DSN, Becton Dickinson team up to help educate community pharmacies about injectable diabetes treatments</w:t>
      </w:r>
      <w:bookmarkEnd w:id="34"/>
      <w:bookmarkEnd w:id="35"/>
    </w:p>
    <w:p w:rsidR="00DA7E0E" w:rsidRPr="00584FDC" w:rsidRDefault="00F41810" w:rsidP="009A0491">
      <w:pPr>
        <w:pStyle w:val="ListParagraph"/>
        <w:numPr>
          <w:ilvl w:val="0"/>
          <w:numId w:val="10"/>
        </w:numPr>
        <w:ind w:left="1350"/>
        <w:rPr>
          <w:rStyle w:val="Hyperlink"/>
          <w:rFonts w:asciiTheme="minorHAnsi" w:hAnsiTheme="minorHAnsi"/>
          <w:sz w:val="16"/>
          <w:szCs w:val="16"/>
        </w:rPr>
      </w:pPr>
      <w:hyperlink r:id="rId23" w:history="1">
        <w:r w:rsidR="00DA7E0E" w:rsidRPr="00584FDC">
          <w:rPr>
            <w:rStyle w:val="Hyperlink"/>
            <w:rFonts w:asciiTheme="minorHAnsi" w:hAnsiTheme="minorHAnsi"/>
            <w:sz w:val="16"/>
            <w:szCs w:val="16"/>
          </w:rPr>
          <w:t>http://www.drugstorenews.com/article/dsn-becton-dickinson-team-help-educate-community-pharmacies-about-injectable-diabetes-treatm?tp=i-H55-Q5U-1ez-24sAx-1v-wGU-1c-Nua-24s54-230zQ&amp;utm_campaign=Daily&amp;utm_source=Experian&amp;utm_medium=email&amp;cid=6385&amp;mid=30714239</w:t>
        </w:r>
      </w:hyperlink>
    </w:p>
    <w:p w:rsidR="00090B37" w:rsidRPr="00584FDC" w:rsidRDefault="00090B37" w:rsidP="00090B37">
      <w:pPr>
        <w:pStyle w:val="Heading2"/>
        <w:rPr>
          <w:sz w:val="16"/>
          <w:szCs w:val="16"/>
        </w:rPr>
      </w:pPr>
      <w:bookmarkStart w:id="36" w:name="_Toc462066449"/>
      <w:bookmarkStart w:id="37" w:name="_Toc462233230"/>
      <w:r w:rsidRPr="00584FDC">
        <w:rPr>
          <w:sz w:val="16"/>
          <w:szCs w:val="16"/>
        </w:rPr>
        <w:t>Codeine not safe for kids, AAP warns</w:t>
      </w:r>
      <w:bookmarkEnd w:id="36"/>
      <w:bookmarkEnd w:id="37"/>
    </w:p>
    <w:p w:rsidR="00090B37" w:rsidRPr="00584FDC" w:rsidRDefault="00F41810" w:rsidP="00090B37">
      <w:pPr>
        <w:pStyle w:val="ListParagraph"/>
        <w:numPr>
          <w:ilvl w:val="0"/>
          <w:numId w:val="10"/>
        </w:numPr>
        <w:ind w:left="1350"/>
        <w:rPr>
          <w:rStyle w:val="Hyperlink"/>
          <w:rFonts w:asciiTheme="minorHAnsi" w:hAnsiTheme="minorHAnsi"/>
          <w:sz w:val="16"/>
          <w:szCs w:val="16"/>
        </w:rPr>
      </w:pPr>
      <w:hyperlink r:id="rId24" w:tooltip="mangadhealthcareconnect.com" w:history="1">
        <w:r w:rsidR="00090B37" w:rsidRPr="00584FDC">
          <w:rPr>
            <w:rStyle w:val="Hyperlink"/>
            <w:rFonts w:asciiTheme="minorHAnsi" w:hAnsiTheme="minorHAnsi"/>
            <w:sz w:val="16"/>
            <w:szCs w:val="16"/>
          </w:rPr>
          <w:t>http://www.managedhealthcareconnect.com/content/codeine-not-safe-kids-aap-warns</w:t>
        </w:r>
      </w:hyperlink>
    </w:p>
    <w:p w:rsidR="007D06C4" w:rsidRPr="00584FDC" w:rsidRDefault="007D06C4" w:rsidP="007D06C4">
      <w:pPr>
        <w:pStyle w:val="Heading2"/>
        <w:rPr>
          <w:sz w:val="16"/>
          <w:szCs w:val="16"/>
        </w:rPr>
      </w:pPr>
      <w:bookmarkStart w:id="38" w:name="_Toc462066450"/>
      <w:bookmarkStart w:id="39" w:name="_Toc462233231"/>
      <w:r w:rsidRPr="00584FDC">
        <w:rPr>
          <w:sz w:val="16"/>
          <w:szCs w:val="16"/>
        </w:rPr>
        <w:t>Levothyroxine for Hypothyroidism: Can Bedtime Administration Be a Viable Option?</w:t>
      </w:r>
      <w:bookmarkEnd w:id="38"/>
      <w:bookmarkEnd w:id="39"/>
    </w:p>
    <w:p w:rsidR="007D06C4" w:rsidRPr="00584FDC" w:rsidRDefault="00F41810" w:rsidP="007D06C4">
      <w:pPr>
        <w:pStyle w:val="ListParagraph"/>
        <w:numPr>
          <w:ilvl w:val="0"/>
          <w:numId w:val="10"/>
        </w:numPr>
        <w:ind w:left="1350"/>
        <w:rPr>
          <w:rStyle w:val="Hyperlink"/>
          <w:rFonts w:asciiTheme="minorHAnsi" w:hAnsiTheme="minorHAnsi"/>
          <w:sz w:val="16"/>
          <w:szCs w:val="16"/>
        </w:rPr>
      </w:pPr>
      <w:hyperlink r:id="rId25" w:tooltip="consultant360.com" w:history="1">
        <w:r w:rsidR="007D06C4" w:rsidRPr="00584FDC">
          <w:rPr>
            <w:rStyle w:val="Hyperlink"/>
            <w:rFonts w:asciiTheme="minorHAnsi" w:hAnsiTheme="minorHAnsi"/>
            <w:sz w:val="16"/>
            <w:szCs w:val="16"/>
          </w:rPr>
          <w:t>http://www.consultant360.com/articles/levothyroxine-hypothyroidism-can-bedtime-administration-be-viable-option</w:t>
        </w:r>
      </w:hyperlink>
    </w:p>
    <w:p w:rsidR="007D06C4" w:rsidRPr="00584FDC" w:rsidRDefault="007D06C4" w:rsidP="007D06C4">
      <w:pPr>
        <w:pStyle w:val="Heading2"/>
        <w:rPr>
          <w:sz w:val="16"/>
          <w:szCs w:val="16"/>
        </w:rPr>
      </w:pPr>
      <w:bookmarkStart w:id="40" w:name="_Toc462066451"/>
      <w:bookmarkStart w:id="41" w:name="_Toc462233232"/>
      <w:r w:rsidRPr="00584FDC">
        <w:rPr>
          <w:sz w:val="16"/>
          <w:szCs w:val="16"/>
        </w:rPr>
        <w:t>Dexamethasone-based Mouthwash for Stomatitis Prevention</w:t>
      </w:r>
      <w:bookmarkEnd w:id="40"/>
      <w:bookmarkEnd w:id="41"/>
    </w:p>
    <w:p w:rsidR="007D06C4" w:rsidRPr="00584FDC" w:rsidRDefault="00F41810" w:rsidP="007D06C4">
      <w:pPr>
        <w:pStyle w:val="ListParagraph"/>
        <w:numPr>
          <w:ilvl w:val="0"/>
          <w:numId w:val="10"/>
        </w:numPr>
        <w:ind w:left="1350"/>
        <w:rPr>
          <w:rStyle w:val="Hyperlink"/>
          <w:rFonts w:asciiTheme="minorHAnsi" w:hAnsiTheme="minorHAnsi"/>
          <w:sz w:val="16"/>
          <w:szCs w:val="16"/>
        </w:rPr>
      </w:pPr>
      <w:hyperlink r:id="rId26" w:tooltip="cancertherapyadvisor.com" w:history="1">
        <w:r w:rsidR="007D06C4" w:rsidRPr="00584FDC">
          <w:rPr>
            <w:rStyle w:val="Hyperlink"/>
            <w:rFonts w:asciiTheme="minorHAnsi" w:hAnsiTheme="minorHAnsi"/>
            <w:sz w:val="16"/>
            <w:szCs w:val="16"/>
          </w:rPr>
          <w:t>http://www.cancertherapyadvisor.com/breast-cancer/breast-cancer-dexamethasone-mouthwash-prevents-stomatitis/article/522473/?DCMP=EMC-CTA_Front&amp;cpn=&amp;hmSubId=&amp;NID=&amp;spMailingID=15437943&amp;spUserID=NDgyNTEwMTE5NjYS1&amp;spJobID=861227646&amp;spReportId=ODYxMjI3NjQ2S0</w:t>
        </w:r>
      </w:hyperlink>
    </w:p>
    <w:p w:rsidR="000D3A45" w:rsidRPr="00584FDC" w:rsidRDefault="00D93F7C" w:rsidP="00D93F7C">
      <w:pPr>
        <w:pStyle w:val="Heading2"/>
        <w:rPr>
          <w:sz w:val="16"/>
          <w:szCs w:val="16"/>
        </w:rPr>
      </w:pPr>
      <w:bookmarkStart w:id="42" w:name="_Toc462066453"/>
      <w:bookmarkStart w:id="43" w:name="_Toc462233233"/>
      <w:r w:rsidRPr="00584FDC">
        <w:rPr>
          <w:sz w:val="16"/>
          <w:szCs w:val="16"/>
        </w:rPr>
        <w:t>Notice of NDC Change from Arbor Pharmaceuticals, LLC</w:t>
      </w:r>
      <w:bookmarkEnd w:id="42"/>
      <w:bookmarkEnd w:id="43"/>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3F7C" w:rsidRPr="00584FDC" w:rsidTr="00D93F7C">
        <w:trPr>
          <w:tblCellSpacing w:w="0" w:type="dxa"/>
          <w:jc w:val="center"/>
        </w:trPr>
        <w:tc>
          <w:tcPr>
            <w:tcW w:w="0" w:type="auto"/>
            <w:hideMark/>
          </w:tcPr>
          <w:tbl>
            <w:tblPr>
              <w:tblW w:w="10485" w:type="dxa"/>
              <w:tblCellSpacing w:w="15" w:type="dxa"/>
              <w:tblCellMar>
                <w:left w:w="0" w:type="dxa"/>
                <w:right w:w="0" w:type="dxa"/>
              </w:tblCellMar>
              <w:tblLook w:val="04A0" w:firstRow="1" w:lastRow="0" w:firstColumn="1" w:lastColumn="0" w:noHBand="0" w:noVBand="1"/>
            </w:tblPr>
            <w:tblGrid>
              <w:gridCol w:w="1926"/>
              <w:gridCol w:w="1466"/>
              <w:gridCol w:w="1637"/>
              <w:gridCol w:w="1688"/>
              <w:gridCol w:w="1859"/>
              <w:gridCol w:w="1909"/>
            </w:tblGrid>
            <w:tr w:rsidR="00D93F7C" w:rsidRPr="00584FDC">
              <w:trPr>
                <w:tblCellSpacing w:w="15" w:type="dxa"/>
              </w:trPr>
              <w:tc>
                <w:tcPr>
                  <w:tcW w:w="1650" w:type="dxa"/>
                  <w:shd w:val="clear" w:color="auto" w:fill="4F81BD"/>
                  <w:tcMar>
                    <w:top w:w="105" w:type="dxa"/>
                    <w:left w:w="105" w:type="dxa"/>
                    <w:bottom w:w="105" w:type="dxa"/>
                    <w:right w:w="105" w:type="dxa"/>
                  </w:tcMar>
                  <w:hideMark/>
                </w:tcPr>
                <w:p w:rsidR="00D93F7C" w:rsidRPr="00584FDC" w:rsidRDefault="00D93F7C">
                  <w:pPr>
                    <w:rPr>
                      <w:rFonts w:asciiTheme="minorHAnsi" w:hAnsiTheme="minorHAnsi" w:cs="Arial"/>
                      <w:color w:val="FFFFFF"/>
                      <w:sz w:val="16"/>
                      <w:szCs w:val="16"/>
                    </w:rPr>
                  </w:pPr>
                  <w:r w:rsidRPr="00584FDC">
                    <w:rPr>
                      <w:rStyle w:val="Strong"/>
                      <w:rFonts w:asciiTheme="minorHAnsi" w:hAnsiTheme="minorHAnsi" w:cs="Arial"/>
                      <w:color w:val="FFFFFF"/>
                      <w:sz w:val="16"/>
                      <w:szCs w:val="16"/>
                    </w:rPr>
                    <w:t xml:space="preserve">Product </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Description</w:t>
                  </w:r>
                </w:p>
              </w:tc>
              <w:tc>
                <w:tcPr>
                  <w:tcW w:w="1260" w:type="dxa"/>
                  <w:shd w:val="clear" w:color="auto" w:fill="4F81BD"/>
                  <w:tcMar>
                    <w:top w:w="105" w:type="dxa"/>
                    <w:left w:w="105" w:type="dxa"/>
                    <w:bottom w:w="105" w:type="dxa"/>
                    <w:right w:w="105" w:type="dxa"/>
                  </w:tcMar>
                  <w:hideMark/>
                </w:tcPr>
                <w:p w:rsidR="00D93F7C" w:rsidRPr="00584FDC" w:rsidRDefault="00D93F7C">
                  <w:pPr>
                    <w:rPr>
                      <w:rFonts w:asciiTheme="minorHAnsi" w:hAnsiTheme="minorHAnsi" w:cs="Arial"/>
                      <w:color w:val="FFFFFF"/>
                      <w:sz w:val="16"/>
                      <w:szCs w:val="16"/>
                    </w:rPr>
                  </w:pPr>
                  <w:r w:rsidRPr="00584FDC">
                    <w:rPr>
                      <w:rStyle w:val="Strong"/>
                      <w:rFonts w:asciiTheme="minorHAnsi" w:hAnsiTheme="minorHAnsi" w:cs="Arial"/>
                      <w:color w:val="FFFFFF"/>
                      <w:sz w:val="16"/>
                      <w:szCs w:val="16"/>
                    </w:rPr>
                    <w:t>Strength</w:t>
                  </w:r>
                </w:p>
              </w:tc>
              <w:tc>
                <w:tcPr>
                  <w:tcW w:w="1410" w:type="dxa"/>
                  <w:shd w:val="clear" w:color="auto" w:fill="4F81BD"/>
                  <w:tcMar>
                    <w:top w:w="105" w:type="dxa"/>
                    <w:left w:w="105" w:type="dxa"/>
                    <w:bottom w:w="105" w:type="dxa"/>
                    <w:right w:w="105" w:type="dxa"/>
                  </w:tcMar>
                  <w:hideMark/>
                </w:tcPr>
                <w:p w:rsidR="00D93F7C" w:rsidRPr="00584FDC" w:rsidRDefault="00D93F7C">
                  <w:pPr>
                    <w:rPr>
                      <w:rFonts w:asciiTheme="minorHAnsi" w:hAnsiTheme="minorHAnsi" w:cs="Arial"/>
                      <w:color w:val="FFFFFF"/>
                      <w:sz w:val="16"/>
                      <w:szCs w:val="16"/>
                    </w:rPr>
                  </w:pPr>
                  <w:r w:rsidRPr="00584FDC">
                    <w:rPr>
                      <w:rStyle w:val="Strong"/>
                      <w:rFonts w:asciiTheme="minorHAnsi" w:hAnsiTheme="minorHAnsi" w:cs="Arial"/>
                      <w:color w:val="FFFFFF"/>
                      <w:sz w:val="16"/>
                      <w:szCs w:val="16"/>
                    </w:rPr>
                    <w:t>Size</w:t>
                  </w:r>
                </w:p>
              </w:tc>
              <w:tc>
                <w:tcPr>
                  <w:tcW w:w="1455" w:type="dxa"/>
                  <w:shd w:val="clear" w:color="auto" w:fill="4F81BD"/>
                  <w:tcMar>
                    <w:top w:w="105" w:type="dxa"/>
                    <w:left w:w="105" w:type="dxa"/>
                    <w:bottom w:w="105" w:type="dxa"/>
                    <w:right w:w="105" w:type="dxa"/>
                  </w:tcMar>
                  <w:hideMark/>
                </w:tcPr>
                <w:p w:rsidR="00D93F7C" w:rsidRPr="00584FDC" w:rsidRDefault="00D93F7C">
                  <w:pPr>
                    <w:rPr>
                      <w:rFonts w:asciiTheme="minorHAnsi" w:hAnsiTheme="minorHAnsi" w:cs="Arial"/>
                      <w:color w:val="FFFFFF"/>
                      <w:sz w:val="16"/>
                      <w:szCs w:val="16"/>
                    </w:rPr>
                  </w:pPr>
                  <w:r w:rsidRPr="00584FDC">
                    <w:rPr>
                      <w:rStyle w:val="Strong"/>
                      <w:rFonts w:asciiTheme="minorHAnsi" w:hAnsiTheme="minorHAnsi" w:cs="Arial"/>
                      <w:color w:val="FFFFFF"/>
                      <w:sz w:val="16"/>
                      <w:szCs w:val="16"/>
                    </w:rPr>
                    <w:t>Form</w:t>
                  </w:r>
                </w:p>
              </w:tc>
              <w:tc>
                <w:tcPr>
                  <w:tcW w:w="1605" w:type="dxa"/>
                  <w:shd w:val="clear" w:color="auto" w:fill="4F81BD"/>
                  <w:tcMar>
                    <w:top w:w="105" w:type="dxa"/>
                    <w:left w:w="105" w:type="dxa"/>
                    <w:bottom w:w="105" w:type="dxa"/>
                    <w:right w:w="105" w:type="dxa"/>
                  </w:tcMar>
                  <w:hideMark/>
                </w:tcPr>
                <w:p w:rsidR="00D93F7C" w:rsidRPr="00584FDC" w:rsidRDefault="00D93F7C">
                  <w:pPr>
                    <w:rPr>
                      <w:rFonts w:asciiTheme="minorHAnsi" w:hAnsiTheme="minorHAnsi" w:cs="Arial"/>
                      <w:color w:val="FFFFFF"/>
                      <w:sz w:val="16"/>
                      <w:szCs w:val="16"/>
                    </w:rPr>
                  </w:pPr>
                  <w:r w:rsidRPr="00584FDC">
                    <w:rPr>
                      <w:rStyle w:val="Strong"/>
                      <w:rFonts w:asciiTheme="minorHAnsi" w:hAnsiTheme="minorHAnsi" w:cs="Arial"/>
                      <w:color w:val="FFFFFF"/>
                      <w:sz w:val="16"/>
                      <w:szCs w:val="16"/>
                    </w:rPr>
                    <w:t>Old NDC</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 xml:space="preserve">(Continue to </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 xml:space="preserve">order until your </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 xml:space="preserve">DC is depleted </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of stock)*</w:t>
                  </w:r>
                </w:p>
              </w:tc>
              <w:tc>
                <w:tcPr>
                  <w:tcW w:w="1635" w:type="dxa"/>
                  <w:shd w:val="clear" w:color="auto" w:fill="4F81BD"/>
                  <w:tcMar>
                    <w:top w:w="105" w:type="dxa"/>
                    <w:left w:w="105" w:type="dxa"/>
                    <w:bottom w:w="105" w:type="dxa"/>
                    <w:right w:w="105" w:type="dxa"/>
                  </w:tcMar>
                  <w:hideMark/>
                </w:tcPr>
                <w:p w:rsidR="00D93F7C" w:rsidRPr="00584FDC" w:rsidRDefault="00D93F7C">
                  <w:pPr>
                    <w:rPr>
                      <w:rFonts w:asciiTheme="minorHAnsi" w:hAnsiTheme="minorHAnsi" w:cs="Arial"/>
                      <w:color w:val="FFFFFF"/>
                      <w:sz w:val="16"/>
                      <w:szCs w:val="16"/>
                    </w:rPr>
                  </w:pPr>
                  <w:r w:rsidRPr="00584FDC">
                    <w:rPr>
                      <w:rStyle w:val="Strong"/>
                      <w:rFonts w:asciiTheme="minorHAnsi" w:hAnsiTheme="minorHAnsi" w:cs="Arial"/>
                      <w:color w:val="FFFFFF"/>
                      <w:sz w:val="16"/>
                      <w:szCs w:val="16"/>
                    </w:rPr>
                    <w:t>NEW NDC</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 xml:space="preserve">(Only Available </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when the Old</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 xml:space="preserve">NDC is depleted </w:t>
                  </w:r>
                  <w:r w:rsidRPr="00584FDC">
                    <w:rPr>
                      <w:rFonts w:asciiTheme="minorHAnsi" w:hAnsiTheme="minorHAnsi" w:cs="Arial"/>
                      <w:b/>
                      <w:bCs/>
                      <w:color w:val="FFFFFF"/>
                      <w:sz w:val="16"/>
                      <w:szCs w:val="16"/>
                    </w:rPr>
                    <w:br/>
                  </w:r>
                  <w:r w:rsidRPr="00584FDC">
                    <w:rPr>
                      <w:rStyle w:val="Strong"/>
                      <w:rFonts w:asciiTheme="minorHAnsi" w:hAnsiTheme="minorHAnsi" w:cs="Arial"/>
                      <w:color w:val="FFFFFF"/>
                      <w:sz w:val="16"/>
                      <w:szCs w:val="16"/>
                    </w:rPr>
                    <w:t>at the DC)*</w:t>
                  </w:r>
                </w:p>
              </w:tc>
            </w:tr>
            <w:tr w:rsidR="00D93F7C" w:rsidRPr="00584FDC">
              <w:trPr>
                <w:tblCellSpacing w:w="15" w:type="dxa"/>
              </w:trPr>
              <w:tc>
                <w:tcPr>
                  <w:tcW w:w="1650" w:type="dxa"/>
                  <w:shd w:val="clear" w:color="auto" w:fill="D0D8E8"/>
                  <w:tcMar>
                    <w:top w:w="105" w:type="dxa"/>
                    <w:left w:w="105" w:type="dxa"/>
                    <w:bottom w:w="105" w:type="dxa"/>
                    <w:right w:w="105" w:type="dxa"/>
                  </w:tcMar>
                  <w:hideMark/>
                </w:tcPr>
                <w:p w:rsidR="00D93F7C" w:rsidRPr="00584FDC" w:rsidRDefault="00D93F7C">
                  <w:pPr>
                    <w:pStyle w:val="NormalWeb"/>
                    <w:spacing w:before="0" w:beforeAutospacing="0" w:after="225" w:afterAutospacing="0"/>
                    <w:rPr>
                      <w:rFonts w:asciiTheme="minorHAnsi" w:hAnsiTheme="minorHAnsi" w:cs="Arial"/>
                      <w:color w:val="000000"/>
                      <w:sz w:val="16"/>
                      <w:szCs w:val="16"/>
                    </w:rPr>
                  </w:pPr>
                  <w:r w:rsidRPr="00584FDC">
                    <w:rPr>
                      <w:rStyle w:val="Strong"/>
                      <w:rFonts w:asciiTheme="minorHAnsi" w:hAnsiTheme="minorHAnsi" w:cs="Arial"/>
                      <w:color w:val="000000"/>
                      <w:sz w:val="16"/>
                      <w:szCs w:val="16"/>
                    </w:rPr>
                    <w:t>EVEKEO</w:t>
                  </w:r>
                  <w:r w:rsidRPr="00584FDC">
                    <w:rPr>
                      <w:rStyle w:val="Strong"/>
                      <w:rFonts w:asciiTheme="minorHAnsi" w:hAnsiTheme="minorHAnsi" w:cs="Arial"/>
                      <w:color w:val="000000"/>
                      <w:position w:val="6"/>
                      <w:sz w:val="16"/>
                      <w:szCs w:val="16"/>
                    </w:rPr>
                    <w:t>®</w:t>
                  </w:r>
                  <w:r w:rsidRPr="00584FDC">
                    <w:rPr>
                      <w:rFonts w:asciiTheme="minorHAnsi" w:hAnsiTheme="minorHAnsi" w:cs="Arial"/>
                      <w:color w:val="000000"/>
                      <w:sz w:val="16"/>
                      <w:szCs w:val="16"/>
                    </w:rPr>
                    <w:t xml:space="preserve"> </w:t>
                  </w:r>
                  <w:r w:rsidRPr="00584FDC">
                    <w:rPr>
                      <w:rStyle w:val="Strong"/>
                      <w:rFonts w:asciiTheme="minorHAnsi" w:hAnsiTheme="minorHAnsi" w:cs="Arial"/>
                      <w:color w:val="000000"/>
                      <w:sz w:val="16"/>
                      <w:szCs w:val="16"/>
                    </w:rPr>
                    <w:t>CII</w:t>
                  </w:r>
                  <w:r w:rsidRPr="00584FDC">
                    <w:rPr>
                      <w:rFonts w:asciiTheme="minorHAnsi" w:hAnsiTheme="minorHAnsi" w:cs="Arial"/>
                      <w:color w:val="000000"/>
                      <w:sz w:val="16"/>
                      <w:szCs w:val="16"/>
                    </w:rPr>
                    <w:br/>
                  </w:r>
                  <w:r w:rsidRPr="00584FDC">
                    <w:rPr>
                      <w:rStyle w:val="Strong"/>
                      <w:rFonts w:asciiTheme="minorHAnsi" w:hAnsiTheme="minorHAnsi" w:cs="Arial"/>
                      <w:color w:val="000000"/>
                      <w:sz w:val="16"/>
                      <w:szCs w:val="16"/>
                    </w:rPr>
                    <w:t>(amphetamine sulfate)</w:t>
                  </w:r>
                  <w:r w:rsidRPr="00584FDC">
                    <w:rPr>
                      <w:rFonts w:asciiTheme="minorHAnsi" w:hAnsiTheme="minorHAnsi" w:cs="Arial"/>
                      <w:color w:val="000000"/>
                      <w:sz w:val="16"/>
                      <w:szCs w:val="16"/>
                    </w:rPr>
                    <w:t xml:space="preserve"> </w:t>
                  </w:r>
                  <w:r w:rsidRPr="00584FDC">
                    <w:rPr>
                      <w:rStyle w:val="Strong"/>
                      <w:rFonts w:asciiTheme="minorHAnsi" w:hAnsiTheme="minorHAnsi" w:cs="Arial"/>
                      <w:color w:val="000000"/>
                      <w:sz w:val="16"/>
                      <w:szCs w:val="16"/>
                    </w:rPr>
                    <w:t xml:space="preserve">Tablets </w:t>
                  </w:r>
                  <w:r w:rsidRPr="00584FDC">
                    <w:rPr>
                      <w:rFonts w:asciiTheme="minorHAnsi" w:hAnsiTheme="minorHAnsi" w:cs="Arial"/>
                      <w:b/>
                      <w:bCs/>
                      <w:color w:val="000000"/>
                      <w:sz w:val="16"/>
                      <w:szCs w:val="16"/>
                    </w:rPr>
                    <w:br/>
                  </w:r>
                  <w:r w:rsidRPr="00584FDC">
                    <w:rPr>
                      <w:rStyle w:val="Strong"/>
                      <w:rFonts w:asciiTheme="minorHAnsi" w:hAnsiTheme="minorHAnsi" w:cs="Arial"/>
                      <w:color w:val="000000"/>
                      <w:sz w:val="16"/>
                      <w:szCs w:val="16"/>
                    </w:rPr>
                    <w:t>5mg</w:t>
                  </w:r>
                  <w:r w:rsidRPr="00584FDC">
                    <w:rPr>
                      <w:rFonts w:asciiTheme="minorHAnsi" w:hAnsiTheme="minorHAnsi" w:cs="Arial"/>
                      <w:color w:val="000000"/>
                      <w:sz w:val="16"/>
                      <w:szCs w:val="16"/>
                    </w:rPr>
                    <w:t xml:space="preserve"> </w:t>
                  </w:r>
                </w:p>
              </w:tc>
              <w:tc>
                <w:tcPr>
                  <w:tcW w:w="1260" w:type="dxa"/>
                  <w:shd w:val="clear" w:color="auto" w:fill="D0D8E8"/>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Strong"/>
                      <w:rFonts w:asciiTheme="minorHAnsi" w:hAnsiTheme="minorHAnsi" w:cs="Arial"/>
                      <w:color w:val="000000"/>
                      <w:sz w:val="16"/>
                      <w:szCs w:val="16"/>
                    </w:rPr>
                    <w:t>5mg</w:t>
                  </w:r>
                </w:p>
              </w:tc>
              <w:tc>
                <w:tcPr>
                  <w:tcW w:w="1410" w:type="dxa"/>
                  <w:shd w:val="clear" w:color="auto" w:fill="D0D8E8"/>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Strong"/>
                      <w:rFonts w:asciiTheme="minorHAnsi" w:hAnsiTheme="minorHAnsi" w:cs="Arial"/>
                      <w:color w:val="000000"/>
                      <w:sz w:val="16"/>
                      <w:szCs w:val="16"/>
                    </w:rPr>
                    <w:t>100 count bottles</w:t>
                  </w:r>
                </w:p>
              </w:tc>
              <w:tc>
                <w:tcPr>
                  <w:tcW w:w="1455" w:type="dxa"/>
                  <w:shd w:val="clear" w:color="auto" w:fill="D0D8E8"/>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Strong"/>
                      <w:rFonts w:asciiTheme="minorHAnsi" w:hAnsiTheme="minorHAnsi" w:cs="Arial"/>
                      <w:color w:val="000000"/>
                      <w:sz w:val="16"/>
                      <w:szCs w:val="16"/>
                    </w:rPr>
                    <w:t>Tablets</w:t>
                  </w:r>
                </w:p>
              </w:tc>
              <w:tc>
                <w:tcPr>
                  <w:tcW w:w="1605" w:type="dxa"/>
                  <w:shd w:val="clear" w:color="auto" w:fill="D0D8E8"/>
                  <w:tcMar>
                    <w:top w:w="105" w:type="dxa"/>
                    <w:left w:w="105" w:type="dxa"/>
                    <w:bottom w:w="105" w:type="dxa"/>
                    <w:right w:w="105" w:type="dxa"/>
                  </w:tcMar>
                  <w:hideMark/>
                </w:tcPr>
                <w:p w:rsidR="00D93F7C" w:rsidRPr="00584FDC" w:rsidRDefault="00D93F7C">
                  <w:pPr>
                    <w:rPr>
                      <w:rFonts w:asciiTheme="minorHAnsi" w:hAnsiTheme="minorHAnsi" w:cs="Arial"/>
                      <w:color w:val="666666"/>
                      <w:sz w:val="16"/>
                      <w:szCs w:val="16"/>
                    </w:rPr>
                  </w:pPr>
                  <w:r w:rsidRPr="00584FDC">
                    <w:rPr>
                      <w:rStyle w:val="Hyperlink"/>
                      <w:rFonts w:asciiTheme="minorHAnsi" w:hAnsiTheme="minorHAnsi" w:cs="Arial"/>
                      <w:b/>
                      <w:bCs/>
                      <w:color w:val="666666"/>
                      <w:sz w:val="16"/>
                      <w:szCs w:val="16"/>
                    </w:rPr>
                    <w:t xml:space="preserve">24338-0020-10 </w:t>
                  </w:r>
                </w:p>
              </w:tc>
              <w:tc>
                <w:tcPr>
                  <w:tcW w:w="1635" w:type="dxa"/>
                  <w:shd w:val="clear" w:color="auto" w:fill="D0D8E8"/>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Hyperlink"/>
                      <w:rFonts w:asciiTheme="minorHAnsi" w:hAnsiTheme="minorHAnsi" w:cs="Arial"/>
                      <w:b/>
                      <w:bCs/>
                      <w:color w:val="000000"/>
                      <w:sz w:val="16"/>
                      <w:szCs w:val="16"/>
                    </w:rPr>
                    <w:t>24338-0022-10</w:t>
                  </w:r>
                </w:p>
              </w:tc>
            </w:tr>
            <w:tr w:rsidR="00D93F7C" w:rsidRPr="00584FDC">
              <w:trPr>
                <w:tblCellSpacing w:w="15" w:type="dxa"/>
              </w:trPr>
              <w:tc>
                <w:tcPr>
                  <w:tcW w:w="1650" w:type="dxa"/>
                  <w:shd w:val="clear" w:color="auto" w:fill="E9EDF4"/>
                  <w:tcMar>
                    <w:top w:w="105" w:type="dxa"/>
                    <w:left w:w="105" w:type="dxa"/>
                    <w:bottom w:w="105" w:type="dxa"/>
                    <w:right w:w="105" w:type="dxa"/>
                  </w:tcMar>
                  <w:hideMark/>
                </w:tcPr>
                <w:p w:rsidR="00D93F7C" w:rsidRPr="00584FDC" w:rsidRDefault="00D93F7C">
                  <w:pPr>
                    <w:pStyle w:val="NormalWeb"/>
                    <w:spacing w:before="0" w:beforeAutospacing="0" w:after="225" w:afterAutospacing="0"/>
                    <w:rPr>
                      <w:rFonts w:asciiTheme="minorHAnsi" w:hAnsiTheme="minorHAnsi" w:cs="Arial"/>
                      <w:color w:val="000000"/>
                      <w:sz w:val="16"/>
                      <w:szCs w:val="16"/>
                    </w:rPr>
                  </w:pPr>
                  <w:r w:rsidRPr="00584FDC">
                    <w:rPr>
                      <w:rStyle w:val="Strong"/>
                      <w:rFonts w:asciiTheme="minorHAnsi" w:hAnsiTheme="minorHAnsi" w:cs="Arial"/>
                      <w:color w:val="000000"/>
                      <w:sz w:val="16"/>
                      <w:szCs w:val="16"/>
                    </w:rPr>
                    <w:t>EVEKEO</w:t>
                  </w:r>
                  <w:r w:rsidRPr="00584FDC">
                    <w:rPr>
                      <w:rStyle w:val="Strong"/>
                      <w:rFonts w:asciiTheme="minorHAnsi" w:hAnsiTheme="minorHAnsi" w:cs="Arial"/>
                      <w:color w:val="000000"/>
                      <w:position w:val="6"/>
                      <w:sz w:val="16"/>
                      <w:szCs w:val="16"/>
                    </w:rPr>
                    <w:t>®</w:t>
                  </w:r>
                  <w:r w:rsidRPr="00584FDC">
                    <w:rPr>
                      <w:rStyle w:val="Strong"/>
                      <w:rFonts w:asciiTheme="minorHAnsi" w:hAnsiTheme="minorHAnsi" w:cs="Arial"/>
                      <w:color w:val="000000"/>
                      <w:sz w:val="16"/>
                      <w:szCs w:val="16"/>
                    </w:rPr>
                    <w:t xml:space="preserve"> CII</w:t>
                  </w:r>
                  <w:r w:rsidRPr="00584FDC">
                    <w:rPr>
                      <w:rFonts w:asciiTheme="minorHAnsi" w:hAnsiTheme="minorHAnsi" w:cs="Arial"/>
                      <w:color w:val="000000"/>
                      <w:sz w:val="16"/>
                      <w:szCs w:val="16"/>
                    </w:rPr>
                    <w:t xml:space="preserve"> </w:t>
                  </w:r>
                  <w:r w:rsidRPr="00584FDC">
                    <w:rPr>
                      <w:rFonts w:asciiTheme="minorHAnsi" w:hAnsiTheme="minorHAnsi" w:cs="Arial"/>
                      <w:color w:val="000000"/>
                      <w:sz w:val="16"/>
                      <w:szCs w:val="16"/>
                    </w:rPr>
                    <w:br/>
                  </w:r>
                  <w:r w:rsidRPr="00584FDC">
                    <w:rPr>
                      <w:rStyle w:val="Strong"/>
                      <w:rFonts w:asciiTheme="minorHAnsi" w:hAnsiTheme="minorHAnsi" w:cs="Arial"/>
                      <w:color w:val="000000"/>
                      <w:sz w:val="16"/>
                      <w:szCs w:val="16"/>
                    </w:rPr>
                    <w:t xml:space="preserve">(amphetamine sulfate) Tablets </w:t>
                  </w:r>
                  <w:r w:rsidRPr="00584FDC">
                    <w:rPr>
                      <w:rFonts w:asciiTheme="minorHAnsi" w:hAnsiTheme="minorHAnsi" w:cs="Arial"/>
                      <w:b/>
                      <w:bCs/>
                      <w:color w:val="000000"/>
                      <w:sz w:val="16"/>
                      <w:szCs w:val="16"/>
                    </w:rPr>
                    <w:br/>
                  </w:r>
                  <w:r w:rsidRPr="00584FDC">
                    <w:rPr>
                      <w:rStyle w:val="Strong"/>
                      <w:rFonts w:asciiTheme="minorHAnsi" w:hAnsiTheme="minorHAnsi" w:cs="Arial"/>
                      <w:color w:val="000000"/>
                      <w:sz w:val="16"/>
                      <w:szCs w:val="16"/>
                    </w:rPr>
                    <w:t>10mg</w:t>
                  </w:r>
                </w:p>
              </w:tc>
              <w:tc>
                <w:tcPr>
                  <w:tcW w:w="1260" w:type="dxa"/>
                  <w:shd w:val="clear" w:color="auto" w:fill="E9EDF4"/>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Strong"/>
                      <w:rFonts w:asciiTheme="minorHAnsi" w:hAnsiTheme="minorHAnsi" w:cs="Arial"/>
                      <w:color w:val="000000"/>
                      <w:sz w:val="16"/>
                      <w:szCs w:val="16"/>
                    </w:rPr>
                    <w:t>10mg</w:t>
                  </w:r>
                </w:p>
              </w:tc>
              <w:tc>
                <w:tcPr>
                  <w:tcW w:w="1410" w:type="dxa"/>
                  <w:shd w:val="clear" w:color="auto" w:fill="E9EDF4"/>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Strong"/>
                      <w:rFonts w:asciiTheme="minorHAnsi" w:hAnsiTheme="minorHAnsi" w:cs="Arial"/>
                      <w:color w:val="000000"/>
                      <w:sz w:val="16"/>
                      <w:szCs w:val="16"/>
                    </w:rPr>
                    <w:t>100 count bottles</w:t>
                  </w:r>
                </w:p>
              </w:tc>
              <w:tc>
                <w:tcPr>
                  <w:tcW w:w="1455" w:type="dxa"/>
                  <w:shd w:val="clear" w:color="auto" w:fill="E9EDF4"/>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Strong"/>
                      <w:rFonts w:asciiTheme="minorHAnsi" w:hAnsiTheme="minorHAnsi" w:cs="Arial"/>
                      <w:color w:val="000000"/>
                      <w:sz w:val="16"/>
                      <w:szCs w:val="16"/>
                    </w:rPr>
                    <w:t>Tablets</w:t>
                  </w:r>
                </w:p>
              </w:tc>
              <w:tc>
                <w:tcPr>
                  <w:tcW w:w="1605" w:type="dxa"/>
                  <w:shd w:val="clear" w:color="auto" w:fill="E9EDF4"/>
                  <w:tcMar>
                    <w:top w:w="105" w:type="dxa"/>
                    <w:left w:w="105" w:type="dxa"/>
                    <w:bottom w:w="105" w:type="dxa"/>
                    <w:right w:w="105" w:type="dxa"/>
                  </w:tcMar>
                  <w:hideMark/>
                </w:tcPr>
                <w:p w:rsidR="00D93F7C" w:rsidRPr="00584FDC" w:rsidRDefault="00D93F7C">
                  <w:pPr>
                    <w:rPr>
                      <w:rFonts w:asciiTheme="minorHAnsi" w:hAnsiTheme="minorHAnsi" w:cs="Arial"/>
                      <w:color w:val="666666"/>
                      <w:sz w:val="16"/>
                      <w:szCs w:val="16"/>
                    </w:rPr>
                  </w:pPr>
                  <w:r w:rsidRPr="00584FDC">
                    <w:rPr>
                      <w:rStyle w:val="Hyperlink"/>
                      <w:rFonts w:asciiTheme="minorHAnsi" w:hAnsiTheme="minorHAnsi" w:cs="Arial"/>
                      <w:b/>
                      <w:bCs/>
                      <w:color w:val="666666"/>
                      <w:sz w:val="16"/>
                      <w:szCs w:val="16"/>
                    </w:rPr>
                    <w:t xml:space="preserve">24338-0021-10 </w:t>
                  </w:r>
                </w:p>
              </w:tc>
              <w:tc>
                <w:tcPr>
                  <w:tcW w:w="1635" w:type="dxa"/>
                  <w:shd w:val="clear" w:color="auto" w:fill="E9EDF4"/>
                  <w:tcMar>
                    <w:top w:w="105" w:type="dxa"/>
                    <w:left w:w="105" w:type="dxa"/>
                    <w:bottom w:w="105" w:type="dxa"/>
                    <w:right w:w="105" w:type="dxa"/>
                  </w:tcMar>
                  <w:hideMark/>
                </w:tcPr>
                <w:p w:rsidR="00D93F7C" w:rsidRPr="00584FDC" w:rsidRDefault="00D93F7C">
                  <w:pPr>
                    <w:rPr>
                      <w:rFonts w:asciiTheme="minorHAnsi" w:hAnsiTheme="minorHAnsi" w:cs="Arial"/>
                      <w:color w:val="000000"/>
                      <w:sz w:val="16"/>
                      <w:szCs w:val="16"/>
                    </w:rPr>
                  </w:pPr>
                  <w:r w:rsidRPr="00584FDC">
                    <w:rPr>
                      <w:rStyle w:val="Hyperlink"/>
                      <w:rFonts w:asciiTheme="minorHAnsi" w:hAnsiTheme="minorHAnsi" w:cs="Arial"/>
                      <w:b/>
                      <w:bCs/>
                      <w:color w:val="000000"/>
                      <w:sz w:val="16"/>
                      <w:szCs w:val="16"/>
                    </w:rPr>
                    <w:t xml:space="preserve">24338-0026-10 </w:t>
                  </w:r>
                </w:p>
              </w:tc>
            </w:tr>
          </w:tbl>
          <w:p w:rsidR="00D93F7C" w:rsidRPr="00584FDC" w:rsidRDefault="00D93F7C">
            <w:pPr>
              <w:pStyle w:val="NormalWeb"/>
              <w:spacing w:before="75" w:beforeAutospacing="0" w:after="330" w:afterAutospacing="0"/>
              <w:ind w:right="150"/>
              <w:rPr>
                <w:rFonts w:asciiTheme="minorHAnsi" w:hAnsiTheme="minorHAnsi" w:cs="Arial"/>
                <w:color w:val="000000"/>
                <w:sz w:val="16"/>
                <w:szCs w:val="16"/>
              </w:rPr>
            </w:pPr>
            <w:r w:rsidRPr="00584FDC">
              <w:rPr>
                <w:rFonts w:asciiTheme="minorHAnsi" w:hAnsiTheme="minorHAnsi" w:cs="Arial"/>
                <w:color w:val="000000"/>
                <w:sz w:val="16"/>
                <w:szCs w:val="16"/>
                <w:u w:val="single"/>
              </w:rPr>
              <w:t>*</w:t>
            </w:r>
            <w:r w:rsidRPr="00584FDC">
              <w:rPr>
                <w:rFonts w:asciiTheme="minorHAnsi" w:hAnsiTheme="minorHAnsi" w:cs="Arial"/>
                <w:color w:val="000000"/>
                <w:sz w:val="16"/>
                <w:szCs w:val="16"/>
              </w:rPr>
              <w:t>IMPORTANT ORDERING INFORMATION:</w:t>
            </w:r>
            <w:r w:rsidRPr="00584FDC">
              <w:rPr>
                <w:rFonts w:asciiTheme="minorHAnsi" w:hAnsiTheme="minorHAnsi" w:cs="Arial"/>
                <w:color w:val="000000"/>
                <w:sz w:val="16"/>
                <w:szCs w:val="16"/>
              </w:rPr>
              <w:br/>
              <w:t>There may still be available stock of the Old NDC at your distribution center, even though, it may indicate the Old NDC is "Discontinued by the Manufacturer". "Discontinued by Manufacturer" does not necessarily mean the product is not available to order at your distribution center.</w:t>
            </w:r>
          </w:p>
          <w:p w:rsidR="00D93F7C" w:rsidRPr="00584FDC" w:rsidRDefault="00D93F7C">
            <w:pPr>
              <w:pStyle w:val="NormalWeb"/>
              <w:spacing w:before="30" w:beforeAutospacing="0" w:after="330" w:afterAutospacing="0"/>
              <w:ind w:right="150"/>
              <w:rPr>
                <w:rFonts w:asciiTheme="minorHAnsi" w:hAnsiTheme="minorHAnsi" w:cs="Arial"/>
                <w:color w:val="000000"/>
                <w:sz w:val="16"/>
                <w:szCs w:val="16"/>
              </w:rPr>
            </w:pPr>
            <w:r w:rsidRPr="00584FDC">
              <w:rPr>
                <w:rFonts w:asciiTheme="minorHAnsi" w:hAnsiTheme="minorHAnsi" w:cs="Arial"/>
                <w:color w:val="000000"/>
                <w:sz w:val="16"/>
                <w:szCs w:val="16"/>
              </w:rPr>
              <w:t>In addition, you may see that the New NDC has "0 Available". This means there is still stock available of the Old NDC at your distribution center to order for your patients.</w:t>
            </w:r>
          </w:p>
          <w:p w:rsidR="00D93F7C" w:rsidRPr="00584FDC" w:rsidRDefault="00D93F7C">
            <w:pPr>
              <w:pStyle w:val="NormalWeb"/>
              <w:spacing w:before="30" w:beforeAutospacing="0" w:after="60" w:afterAutospacing="0"/>
              <w:ind w:right="150"/>
              <w:rPr>
                <w:rFonts w:asciiTheme="minorHAnsi" w:hAnsiTheme="minorHAnsi" w:cs="Arial"/>
                <w:color w:val="000000"/>
                <w:sz w:val="16"/>
                <w:szCs w:val="16"/>
              </w:rPr>
            </w:pPr>
            <w:r w:rsidRPr="00584FDC">
              <w:rPr>
                <w:rStyle w:val="Strong"/>
                <w:rFonts w:asciiTheme="minorHAnsi" w:hAnsiTheme="minorHAnsi" w:cs="Arial"/>
                <w:color w:val="000000"/>
                <w:sz w:val="16"/>
                <w:szCs w:val="16"/>
              </w:rPr>
              <w:t>There is no change in pricing with this action</w:t>
            </w:r>
          </w:p>
          <w:p w:rsidR="00D93F7C" w:rsidRPr="00584FDC" w:rsidRDefault="00D93F7C">
            <w:pPr>
              <w:pStyle w:val="NormalWeb"/>
              <w:spacing w:before="0" w:beforeAutospacing="0" w:after="0" w:afterAutospacing="0"/>
              <w:ind w:right="300"/>
              <w:jc w:val="right"/>
              <w:rPr>
                <w:rFonts w:asciiTheme="minorHAnsi" w:hAnsiTheme="minorHAnsi" w:cs="Arial"/>
                <w:color w:val="000000"/>
                <w:sz w:val="16"/>
                <w:szCs w:val="16"/>
              </w:rPr>
            </w:pPr>
            <w:r w:rsidRPr="00584FDC">
              <w:rPr>
                <w:rFonts w:asciiTheme="minorHAnsi" w:hAnsiTheme="minorHAnsi" w:cs="Arial"/>
                <w:color w:val="000000"/>
                <w:sz w:val="16"/>
                <w:szCs w:val="16"/>
              </w:rPr>
              <w:t xml:space="preserve">PP-EVE-US-0327 </w:t>
            </w:r>
          </w:p>
        </w:tc>
      </w:tr>
    </w:tbl>
    <w:p w:rsidR="0006567B" w:rsidRPr="00584FDC" w:rsidRDefault="000D3A45" w:rsidP="0006567B">
      <w:pPr>
        <w:pStyle w:val="Heading1"/>
        <w:rPr>
          <w:rFonts w:asciiTheme="minorHAnsi" w:hAnsiTheme="minorHAnsi"/>
          <w:sz w:val="16"/>
          <w:szCs w:val="16"/>
        </w:rPr>
      </w:pPr>
      <w:bookmarkStart w:id="44" w:name="_Toc457284419"/>
      <w:bookmarkStart w:id="45" w:name="_Toc462066454"/>
      <w:bookmarkStart w:id="46" w:name="_Toc462233234"/>
      <w:r w:rsidRPr="00584FDC">
        <w:rPr>
          <w:rFonts w:asciiTheme="minorHAnsi" w:hAnsiTheme="minorHAnsi"/>
          <w:sz w:val="16"/>
          <w:szCs w:val="16"/>
        </w:rPr>
        <w:t>H</w:t>
      </w:r>
      <w:r w:rsidR="0006567B" w:rsidRPr="00584FDC">
        <w:rPr>
          <w:rFonts w:asciiTheme="minorHAnsi" w:hAnsiTheme="minorHAnsi"/>
          <w:sz w:val="16"/>
          <w:szCs w:val="16"/>
        </w:rPr>
        <w:t>OSPITAL</w:t>
      </w:r>
      <w:bookmarkEnd w:id="44"/>
      <w:bookmarkEnd w:id="45"/>
      <w:bookmarkEnd w:id="46"/>
      <w:r w:rsidR="0006567B" w:rsidRPr="00584FDC">
        <w:rPr>
          <w:rFonts w:asciiTheme="minorHAnsi" w:hAnsiTheme="minorHAnsi"/>
          <w:sz w:val="16"/>
          <w:szCs w:val="16"/>
        </w:rPr>
        <w:t xml:space="preserve"> </w:t>
      </w:r>
    </w:p>
    <w:p w:rsidR="006B587A" w:rsidRPr="00584FDC" w:rsidRDefault="006B587A" w:rsidP="006B587A">
      <w:pPr>
        <w:pStyle w:val="Heading2"/>
        <w:rPr>
          <w:sz w:val="16"/>
          <w:szCs w:val="16"/>
        </w:rPr>
      </w:pPr>
      <w:bookmarkStart w:id="47" w:name="_Toc462066455"/>
      <w:bookmarkStart w:id="48" w:name="_Toc462233235"/>
      <w:r w:rsidRPr="00584FDC">
        <w:rPr>
          <w:sz w:val="16"/>
          <w:szCs w:val="16"/>
        </w:rPr>
        <w:t>5 Tips to Improve Your HCAHPS Scores</w:t>
      </w:r>
      <w:bookmarkEnd w:id="47"/>
      <w:bookmarkEnd w:id="48"/>
    </w:p>
    <w:p w:rsidR="007E20DF" w:rsidRPr="00584FDC" w:rsidRDefault="00F41810" w:rsidP="009B75C1">
      <w:pPr>
        <w:rPr>
          <w:rStyle w:val="Hyperlink"/>
          <w:rFonts w:asciiTheme="minorHAnsi" w:hAnsiTheme="minorHAnsi"/>
          <w:sz w:val="16"/>
          <w:szCs w:val="16"/>
        </w:rPr>
      </w:pPr>
      <w:hyperlink r:id="rId27" w:tooltip="healthitanalytics.com" w:history="1">
        <w:r w:rsidR="006B587A" w:rsidRPr="00584FDC">
          <w:rPr>
            <w:rStyle w:val="Hyperlink"/>
            <w:rFonts w:asciiTheme="minorHAnsi" w:hAnsiTheme="minorHAnsi"/>
            <w:sz w:val="16"/>
            <w:szCs w:val="16"/>
          </w:rPr>
          <w:t>http://healthitanalytics.com/resources/white-papers/5-tips-to-improve-your-hcahps-scores?elqTrackId=f2c6634e9c8a411792b599122e89f010&amp;elq=481ccd6ac5624ac0ac538e4049a1ba85&amp;elqaid=809&amp;elqat=1&amp;elqCampaignId=710</w:t>
        </w:r>
      </w:hyperlink>
    </w:p>
    <w:p w:rsidR="00F95E70" w:rsidRPr="00584FDC" w:rsidRDefault="00F95E70" w:rsidP="00C079F8">
      <w:pPr>
        <w:pStyle w:val="Heading1"/>
        <w:rPr>
          <w:rFonts w:asciiTheme="minorHAnsi" w:hAnsiTheme="minorHAnsi"/>
          <w:sz w:val="16"/>
          <w:szCs w:val="16"/>
        </w:rPr>
      </w:pPr>
      <w:bookmarkStart w:id="49" w:name="_Toc457284422"/>
      <w:bookmarkStart w:id="50" w:name="_Toc462066456"/>
      <w:bookmarkStart w:id="51" w:name="_Toc462233236"/>
      <w:r w:rsidRPr="00584FDC">
        <w:rPr>
          <w:rFonts w:asciiTheme="minorHAnsi" w:hAnsiTheme="minorHAnsi"/>
          <w:sz w:val="16"/>
          <w:szCs w:val="16"/>
        </w:rPr>
        <w:t>FDA</w:t>
      </w:r>
      <w:bookmarkEnd w:id="49"/>
      <w:bookmarkEnd w:id="50"/>
      <w:bookmarkEnd w:id="51"/>
      <w:r w:rsidRPr="00584FDC">
        <w:rPr>
          <w:rFonts w:asciiTheme="minorHAnsi" w:hAnsiTheme="minorHAnsi"/>
          <w:sz w:val="16"/>
          <w:szCs w:val="16"/>
        </w:rPr>
        <w:t xml:space="preserve"> </w:t>
      </w:r>
      <w:bookmarkStart w:id="52" w:name="main"/>
      <w:bookmarkEnd w:id="52"/>
    </w:p>
    <w:p w:rsidR="007E20DF" w:rsidRPr="00584FDC" w:rsidRDefault="007E20DF" w:rsidP="007E20DF">
      <w:pPr>
        <w:pStyle w:val="Heading2"/>
        <w:rPr>
          <w:rStyle w:val="Hyperlink"/>
          <w:color w:val="auto"/>
          <w:sz w:val="16"/>
          <w:szCs w:val="16"/>
        </w:rPr>
      </w:pPr>
      <w:bookmarkStart w:id="53" w:name="_Toc462066457"/>
      <w:bookmarkStart w:id="54" w:name="_Toc462233237"/>
      <w:r w:rsidRPr="00584FDC">
        <w:rPr>
          <w:sz w:val="16"/>
          <w:szCs w:val="16"/>
        </w:rPr>
        <w:t>Warnings updated due to disabling side effects</w:t>
      </w:r>
      <w:bookmarkEnd w:id="53"/>
      <w:bookmarkEnd w:id="54"/>
    </w:p>
    <w:p w:rsidR="007E20DF" w:rsidRPr="00584FDC" w:rsidRDefault="00F41810" w:rsidP="009B75C1">
      <w:pPr>
        <w:rPr>
          <w:rStyle w:val="Hyperlink"/>
          <w:rFonts w:asciiTheme="minorHAnsi" w:hAnsiTheme="minorHAnsi"/>
          <w:sz w:val="16"/>
          <w:szCs w:val="16"/>
        </w:rPr>
      </w:pPr>
      <w:hyperlink r:id="rId28" w:tooltip="fda.gov" w:history="1">
        <w:r w:rsidR="007E20DF" w:rsidRPr="00584FDC">
          <w:rPr>
            <w:rStyle w:val="Hyperlink"/>
            <w:rFonts w:asciiTheme="minorHAnsi" w:hAnsiTheme="minorHAnsi"/>
            <w:sz w:val="16"/>
            <w:szCs w:val="16"/>
          </w:rPr>
          <w:t>http://www.fda.gov/Safety/MedWatch/SafetyInformation/SafetyAlertsforHumanMedicalProducts/ucm513065.htm</w:t>
        </w:r>
      </w:hyperlink>
    </w:p>
    <w:p w:rsidR="005037E0" w:rsidRPr="00584FDC" w:rsidRDefault="00E21337" w:rsidP="00E21337">
      <w:pPr>
        <w:pStyle w:val="Heading2"/>
        <w:rPr>
          <w:sz w:val="16"/>
          <w:szCs w:val="16"/>
        </w:rPr>
      </w:pPr>
      <w:bookmarkStart w:id="55" w:name="_Toc462066458"/>
      <w:bookmarkStart w:id="56" w:name="_Toc462233238"/>
      <w:r w:rsidRPr="00584FDC">
        <w:rPr>
          <w:sz w:val="16"/>
          <w:szCs w:val="16"/>
        </w:rPr>
        <w:lastRenderedPageBreak/>
        <w:t>WEN by Chaz Dean Cleansing Conditioners - u</w:t>
      </w:r>
      <w:r w:rsidR="005037E0" w:rsidRPr="00584FDC">
        <w:rPr>
          <w:sz w:val="16"/>
          <w:szCs w:val="16"/>
        </w:rPr>
        <w:t>nder investigation for adverse reactions</w:t>
      </w:r>
      <w:bookmarkEnd w:id="55"/>
      <w:bookmarkEnd w:id="56"/>
    </w:p>
    <w:p w:rsidR="005037E0" w:rsidRPr="00584FDC" w:rsidRDefault="00F41810" w:rsidP="009B75C1">
      <w:pPr>
        <w:rPr>
          <w:rStyle w:val="Hyperlink"/>
          <w:rFonts w:asciiTheme="minorHAnsi" w:hAnsiTheme="minorHAnsi"/>
          <w:sz w:val="16"/>
          <w:szCs w:val="16"/>
        </w:rPr>
      </w:pPr>
      <w:hyperlink r:id="rId29" w:tooltip="fda.gov" w:history="1">
        <w:r w:rsidR="005037E0" w:rsidRPr="00584FDC">
          <w:rPr>
            <w:rStyle w:val="Hyperlink"/>
            <w:rFonts w:asciiTheme="minorHAnsi" w:hAnsiTheme="minorHAnsi"/>
            <w:sz w:val="16"/>
            <w:szCs w:val="16"/>
          </w:rPr>
          <w:t>http://www.fda.gov/Safety/MedWatch/SafetyInformation/SafetyAlertsforHumanMedicalProducts/ucm511890.htm</w:t>
        </w:r>
      </w:hyperlink>
    </w:p>
    <w:p w:rsidR="007E20DF" w:rsidRPr="00584FDC" w:rsidRDefault="005037E0" w:rsidP="009A0491">
      <w:pPr>
        <w:pStyle w:val="Heading2"/>
        <w:numPr>
          <w:ilvl w:val="0"/>
          <w:numId w:val="7"/>
        </w:numPr>
        <w:ind w:left="1080"/>
        <w:rPr>
          <w:rFonts w:cs="Helvetica"/>
          <w:color w:val="4D4D4D"/>
          <w:sz w:val="16"/>
          <w:szCs w:val="16"/>
        </w:rPr>
      </w:pPr>
      <w:bookmarkStart w:id="57" w:name="_Toc462066459"/>
      <w:bookmarkStart w:id="58" w:name="_Toc462233239"/>
      <w:r w:rsidRPr="00584FDC">
        <w:rPr>
          <w:sz w:val="16"/>
          <w:szCs w:val="16"/>
        </w:rPr>
        <w:t>Strengthened kidney warnings</w:t>
      </w:r>
      <w:bookmarkEnd w:id="57"/>
      <w:bookmarkEnd w:id="58"/>
    </w:p>
    <w:p w:rsidR="005037E0" w:rsidRPr="00584FDC" w:rsidRDefault="00F41810" w:rsidP="009B75C1">
      <w:pPr>
        <w:rPr>
          <w:rStyle w:val="Hyperlink"/>
          <w:rFonts w:asciiTheme="minorHAnsi" w:hAnsiTheme="minorHAnsi"/>
          <w:sz w:val="16"/>
          <w:szCs w:val="16"/>
        </w:rPr>
      </w:pPr>
      <w:hyperlink r:id="rId30" w:tooltip="fda.gov" w:history="1">
        <w:r w:rsidR="005037E0" w:rsidRPr="00584FDC">
          <w:rPr>
            <w:rStyle w:val="Hyperlink"/>
            <w:rFonts w:asciiTheme="minorHAnsi" w:hAnsiTheme="minorHAnsi"/>
            <w:sz w:val="16"/>
            <w:szCs w:val="16"/>
          </w:rPr>
          <w:t>http://www.fda.gov/Safety/MedWatch/SafetyInformation/SafetyAlertsforHumanMedicalProducts/ucm506554.htm</w:t>
        </w:r>
      </w:hyperlink>
    </w:p>
    <w:p w:rsidR="00981750" w:rsidRPr="00584FDC" w:rsidRDefault="00981750" w:rsidP="00981750">
      <w:pPr>
        <w:pStyle w:val="Heading2"/>
        <w:rPr>
          <w:sz w:val="16"/>
          <w:szCs w:val="16"/>
        </w:rPr>
      </w:pPr>
      <w:bookmarkStart w:id="59" w:name="_Toc462066460"/>
      <w:bookmarkStart w:id="60" w:name="_Toc462233240"/>
      <w:r w:rsidRPr="00584FDC">
        <w:rPr>
          <w:sz w:val="16"/>
          <w:szCs w:val="16"/>
        </w:rPr>
        <w:t>FDA Drug Approvals and Changes: August Edition</w:t>
      </w:r>
      <w:bookmarkEnd w:id="59"/>
      <w:bookmarkEnd w:id="60"/>
    </w:p>
    <w:p w:rsidR="00981750" w:rsidRPr="00584FDC" w:rsidRDefault="00F41810" w:rsidP="009B75C1">
      <w:pPr>
        <w:rPr>
          <w:rStyle w:val="Hyperlink"/>
          <w:rFonts w:asciiTheme="minorHAnsi" w:hAnsiTheme="minorHAnsi"/>
          <w:sz w:val="16"/>
          <w:szCs w:val="16"/>
        </w:rPr>
      </w:pPr>
      <w:hyperlink r:id="rId31" w:tooltip="reference.medscape.com" w:history="1">
        <w:r w:rsidR="00981750" w:rsidRPr="00584FDC">
          <w:rPr>
            <w:rStyle w:val="Hyperlink"/>
            <w:rFonts w:asciiTheme="minorHAnsi" w:hAnsiTheme="minorHAnsi"/>
            <w:sz w:val="16"/>
            <w:szCs w:val="16"/>
          </w:rPr>
          <w:t>http://reference.medscape.com/features/slideshow/drug-review/2016/august?src=wnl_drugupdt_160822_mscpref&amp;uac=4045DY&amp;impID=1181825&amp;faf=1</w:t>
        </w:r>
      </w:hyperlink>
    </w:p>
    <w:p w:rsidR="007D06C4" w:rsidRPr="00584FDC" w:rsidRDefault="007D06C4" w:rsidP="007D06C4">
      <w:pPr>
        <w:pStyle w:val="Heading2"/>
        <w:rPr>
          <w:sz w:val="16"/>
          <w:szCs w:val="16"/>
        </w:rPr>
      </w:pPr>
      <w:bookmarkStart w:id="61" w:name="_Toc462066461"/>
      <w:bookmarkStart w:id="62" w:name="_Toc462233241"/>
      <w:r w:rsidRPr="00584FDC">
        <w:rPr>
          <w:sz w:val="16"/>
          <w:szCs w:val="16"/>
        </w:rPr>
        <w:t>FDA permits marketing of balloon device to treat persistent Eustachian tube dysfunction</w:t>
      </w:r>
      <w:bookmarkEnd w:id="61"/>
      <w:bookmarkEnd w:id="62"/>
    </w:p>
    <w:p w:rsidR="007D06C4" w:rsidRPr="00584FDC" w:rsidRDefault="00F41810" w:rsidP="009B75C1">
      <w:pPr>
        <w:rPr>
          <w:rStyle w:val="Hyperlink"/>
          <w:rFonts w:asciiTheme="minorHAnsi" w:hAnsiTheme="minorHAnsi"/>
          <w:sz w:val="16"/>
          <w:szCs w:val="16"/>
        </w:rPr>
      </w:pPr>
      <w:hyperlink r:id="rId32" w:tooltip="fda.gov" w:history="1">
        <w:r w:rsidR="007D06C4" w:rsidRPr="00584FDC">
          <w:rPr>
            <w:rStyle w:val="Hyperlink"/>
            <w:rFonts w:asciiTheme="minorHAnsi" w:hAnsiTheme="minorHAnsi"/>
            <w:sz w:val="16"/>
            <w:szCs w:val="16"/>
          </w:rPr>
          <w:t>http://www.fda.gov/NewsEvents/Newsroom/PressAnnouncements/UCM521063?source=govdelivery&amp;utm_medium=email&amp;utm_source=govdelivery</w:t>
        </w:r>
      </w:hyperlink>
    </w:p>
    <w:p w:rsidR="00F95E70" w:rsidRPr="00584FDC" w:rsidRDefault="00F95E70" w:rsidP="00C079F8">
      <w:pPr>
        <w:pStyle w:val="Heading1"/>
        <w:rPr>
          <w:rFonts w:asciiTheme="minorHAnsi" w:hAnsiTheme="minorHAnsi"/>
          <w:sz w:val="16"/>
          <w:szCs w:val="16"/>
        </w:rPr>
      </w:pPr>
      <w:bookmarkStart w:id="63" w:name="_Toc457284423"/>
      <w:bookmarkStart w:id="64" w:name="_Toc462066462"/>
      <w:bookmarkStart w:id="65" w:name="_Toc462233242"/>
      <w:r w:rsidRPr="00584FDC">
        <w:rPr>
          <w:rFonts w:asciiTheme="minorHAnsi" w:hAnsiTheme="minorHAnsi"/>
          <w:sz w:val="16"/>
          <w:szCs w:val="16"/>
        </w:rPr>
        <w:t>IMMUNIZATIONS</w:t>
      </w:r>
      <w:bookmarkEnd w:id="63"/>
      <w:bookmarkEnd w:id="64"/>
      <w:bookmarkEnd w:id="65"/>
    </w:p>
    <w:p w:rsidR="00EC5FDF" w:rsidRPr="00584FDC" w:rsidRDefault="00EC5FDF" w:rsidP="00EC5FDF">
      <w:pPr>
        <w:pStyle w:val="Heading3"/>
        <w:rPr>
          <w:rStyle w:val="Hyperlink"/>
          <w:rFonts w:asciiTheme="minorHAnsi" w:hAnsiTheme="minorHAnsi"/>
          <w:sz w:val="16"/>
          <w:szCs w:val="16"/>
        </w:rPr>
      </w:pPr>
    </w:p>
    <w:p w:rsidR="00EC5FDF" w:rsidRPr="00584FDC" w:rsidRDefault="00EC5FDF" w:rsidP="007E20DF">
      <w:pPr>
        <w:pStyle w:val="Heading2"/>
        <w:rPr>
          <w:sz w:val="16"/>
          <w:szCs w:val="16"/>
        </w:rPr>
      </w:pPr>
      <w:bookmarkStart w:id="66" w:name="_Toc462066463"/>
      <w:bookmarkStart w:id="67" w:name="_Toc462233243"/>
      <w:r w:rsidRPr="00584FDC">
        <w:rPr>
          <w:sz w:val="16"/>
          <w:szCs w:val="16"/>
        </w:rPr>
        <w:t>Expanded immunization indication in adults 18-49 years</w:t>
      </w:r>
      <w:bookmarkEnd w:id="66"/>
      <w:bookmarkEnd w:id="67"/>
    </w:p>
    <w:p w:rsidR="00EC5FDF" w:rsidRPr="00584FDC" w:rsidRDefault="00F41810" w:rsidP="009B75C1">
      <w:pPr>
        <w:rPr>
          <w:rStyle w:val="Hyperlink"/>
          <w:rFonts w:asciiTheme="minorHAnsi" w:hAnsiTheme="minorHAnsi"/>
          <w:sz w:val="16"/>
          <w:szCs w:val="16"/>
        </w:rPr>
      </w:pPr>
      <w:hyperlink r:id="rId33" w:tooltip="online.epocrates.com" w:history="1">
        <w:r w:rsidR="00EC5FDF" w:rsidRPr="00584FDC">
          <w:rPr>
            <w:rStyle w:val="Hyperlink"/>
            <w:rFonts w:asciiTheme="minorHAnsi" w:hAnsiTheme="minorHAnsi"/>
            <w:sz w:val="16"/>
            <w:szCs w:val="16"/>
          </w:rPr>
          <w:t>https://online.epocrates.com/u/10a5672/Prevnar+13</w:t>
        </w:r>
      </w:hyperlink>
    </w:p>
    <w:p w:rsidR="007136CD" w:rsidRPr="00584FDC" w:rsidRDefault="007136CD" w:rsidP="009B75C1">
      <w:pPr>
        <w:rPr>
          <w:rFonts w:asciiTheme="minorHAnsi" w:hAnsiTheme="minorHAnsi"/>
          <w:sz w:val="16"/>
          <w:szCs w:val="16"/>
        </w:rPr>
      </w:pPr>
      <w:r w:rsidRPr="00584FDC">
        <w:rPr>
          <w:rFonts w:asciiTheme="minorHAnsi" w:hAnsiTheme="minorHAnsi"/>
          <w:sz w:val="16"/>
          <w:szCs w:val="16"/>
        </w:rPr>
        <w:t>Chickenpox Vaccine: Your Best Protection</w:t>
      </w:r>
    </w:p>
    <w:p w:rsidR="007136CD" w:rsidRPr="00584FDC" w:rsidRDefault="00F41810" w:rsidP="009B75C1">
      <w:pPr>
        <w:rPr>
          <w:rStyle w:val="Hyperlink"/>
          <w:rFonts w:asciiTheme="minorHAnsi" w:hAnsiTheme="minorHAnsi"/>
          <w:sz w:val="16"/>
          <w:szCs w:val="16"/>
        </w:rPr>
      </w:pPr>
      <w:hyperlink r:id="rId34" w:tooltip="cdc.gov" w:history="1">
        <w:r w:rsidR="007136CD" w:rsidRPr="00584FDC">
          <w:rPr>
            <w:rStyle w:val="Hyperlink"/>
            <w:rFonts w:asciiTheme="minorHAnsi" w:hAnsiTheme="minorHAnsi"/>
            <w:sz w:val="16"/>
            <w:szCs w:val="16"/>
          </w:rPr>
          <w:t>http://www.cdc.gov/features/preventchickenpox/index.html</w:t>
        </w:r>
      </w:hyperlink>
    </w:p>
    <w:p w:rsidR="007136CD" w:rsidRPr="00584FDC" w:rsidRDefault="007136CD" w:rsidP="009B75C1">
      <w:pPr>
        <w:rPr>
          <w:rFonts w:asciiTheme="minorHAnsi" w:hAnsiTheme="minorHAnsi"/>
          <w:sz w:val="16"/>
          <w:szCs w:val="16"/>
        </w:rPr>
      </w:pPr>
      <w:r w:rsidRPr="00584FDC">
        <w:rPr>
          <w:rFonts w:asciiTheme="minorHAnsi" w:hAnsiTheme="minorHAnsi"/>
          <w:sz w:val="16"/>
          <w:szCs w:val="16"/>
        </w:rPr>
        <w:t>What are the Reasons to Vaccinate My Baby?</w:t>
      </w:r>
    </w:p>
    <w:p w:rsidR="007136CD" w:rsidRPr="00584FDC" w:rsidRDefault="00F41810" w:rsidP="009A0491">
      <w:pPr>
        <w:pStyle w:val="ListParagraph"/>
        <w:numPr>
          <w:ilvl w:val="0"/>
          <w:numId w:val="8"/>
        </w:numPr>
        <w:ind w:left="1350"/>
        <w:rPr>
          <w:rStyle w:val="Hyperlink"/>
          <w:rFonts w:asciiTheme="minorHAnsi" w:hAnsiTheme="minorHAnsi"/>
          <w:sz w:val="16"/>
          <w:szCs w:val="16"/>
        </w:rPr>
      </w:pPr>
      <w:hyperlink r:id="rId35" w:tooltip="cdc.gov" w:history="1">
        <w:r w:rsidR="007136CD" w:rsidRPr="00584FDC">
          <w:rPr>
            <w:rStyle w:val="Hyperlink"/>
            <w:rFonts w:asciiTheme="minorHAnsi" w:hAnsiTheme="minorHAnsi"/>
            <w:sz w:val="16"/>
            <w:szCs w:val="16"/>
          </w:rPr>
          <w:t>http://www.cdc.gov/features/reasonstovaccinate/index.html</w:t>
        </w:r>
      </w:hyperlink>
    </w:p>
    <w:p w:rsidR="00810F35" w:rsidRPr="00584FDC" w:rsidRDefault="00810F35" w:rsidP="009B75C1">
      <w:bookmarkStart w:id="68" w:name="_Toc462066464"/>
      <w:bookmarkStart w:id="69" w:name="_Toc462233244"/>
      <w:r w:rsidRPr="00584FDC">
        <w:t xml:space="preserve">National, Regional, State, and Selected Local Area Vaccination Coverage </w:t>
      </w:r>
      <w:r w:rsidR="00D6213D" w:rsidRPr="00584FDC">
        <w:t>among</w:t>
      </w:r>
      <w:r w:rsidRPr="00584FDC">
        <w:t xml:space="preserve"> Adolescents Aged 13–17 Years — United States, 2015</w:t>
      </w:r>
      <w:bookmarkEnd w:id="68"/>
      <w:bookmarkEnd w:id="69"/>
    </w:p>
    <w:p w:rsidR="00810F35" w:rsidRPr="00584FDC" w:rsidRDefault="00F41810" w:rsidP="009A0491">
      <w:pPr>
        <w:pStyle w:val="ListParagraph"/>
        <w:numPr>
          <w:ilvl w:val="0"/>
          <w:numId w:val="8"/>
        </w:numPr>
        <w:ind w:left="1350"/>
        <w:rPr>
          <w:rFonts w:asciiTheme="minorHAnsi" w:hAnsiTheme="minorHAnsi"/>
          <w:sz w:val="16"/>
          <w:szCs w:val="16"/>
        </w:rPr>
      </w:pPr>
      <w:hyperlink r:id="rId36" w:tooltip="cdc.gov" w:history="1">
        <w:r w:rsidR="00810F35" w:rsidRPr="00584FDC">
          <w:rPr>
            <w:rStyle w:val="Hyperlink"/>
            <w:rFonts w:asciiTheme="minorHAnsi" w:hAnsiTheme="minorHAnsi"/>
            <w:sz w:val="16"/>
            <w:szCs w:val="16"/>
          </w:rPr>
          <w:t>http://www.cdc.gov/mmwr/volumes/65/wr/mm6533a4.htm</w:t>
        </w:r>
      </w:hyperlink>
    </w:p>
    <w:p w:rsidR="006B587A" w:rsidRPr="00584FDC" w:rsidRDefault="006B587A" w:rsidP="006B587A">
      <w:pPr>
        <w:pStyle w:val="Heading2"/>
        <w:rPr>
          <w:sz w:val="16"/>
          <w:szCs w:val="16"/>
        </w:rPr>
      </w:pPr>
      <w:bookmarkStart w:id="70" w:name="_Toc462066465"/>
      <w:bookmarkStart w:id="71" w:name="_Toc462233245"/>
      <w:r w:rsidRPr="00584FDC">
        <w:rPr>
          <w:sz w:val="16"/>
          <w:szCs w:val="16"/>
        </w:rPr>
        <w:t>CDC Vaccine Price List</w:t>
      </w:r>
      <w:bookmarkEnd w:id="70"/>
      <w:bookmarkEnd w:id="71"/>
    </w:p>
    <w:p w:rsidR="006B587A" w:rsidRPr="00584FDC" w:rsidRDefault="00F41810" w:rsidP="009A0491">
      <w:pPr>
        <w:pStyle w:val="ListParagraph"/>
        <w:numPr>
          <w:ilvl w:val="0"/>
          <w:numId w:val="8"/>
        </w:numPr>
        <w:ind w:left="1350"/>
        <w:rPr>
          <w:rStyle w:val="Hyperlink"/>
          <w:rFonts w:asciiTheme="minorHAnsi" w:hAnsiTheme="minorHAnsi"/>
          <w:sz w:val="16"/>
          <w:szCs w:val="16"/>
        </w:rPr>
      </w:pPr>
      <w:hyperlink r:id="rId37" w:tooltip="cdc.gov" w:history="1">
        <w:r w:rsidR="006B587A" w:rsidRPr="00584FDC">
          <w:rPr>
            <w:rStyle w:val="Hyperlink"/>
            <w:rFonts w:asciiTheme="minorHAnsi" w:hAnsiTheme="minorHAnsi"/>
            <w:sz w:val="16"/>
            <w:szCs w:val="16"/>
          </w:rPr>
          <w:t>http://www.cdc.gov/vaccines/programs/vfc/awardees/vaccine-management/price-list/index.html</w:t>
        </w:r>
      </w:hyperlink>
    </w:p>
    <w:p w:rsidR="00764B02" w:rsidRPr="00584FDC" w:rsidRDefault="00764B02" w:rsidP="00764B02">
      <w:pPr>
        <w:pStyle w:val="Heading2"/>
        <w:rPr>
          <w:sz w:val="16"/>
          <w:szCs w:val="16"/>
        </w:rPr>
      </w:pPr>
      <w:bookmarkStart w:id="72" w:name="_Toc462066466"/>
      <w:bookmarkStart w:id="73" w:name="_Toc462233246"/>
      <w:r w:rsidRPr="00584FDC">
        <w:rPr>
          <w:sz w:val="16"/>
          <w:szCs w:val="16"/>
        </w:rPr>
        <w:t>CDC Provides Vaccine Recommendations for the 2016-2017 Influenza Season</w:t>
      </w:r>
      <w:bookmarkEnd w:id="72"/>
      <w:bookmarkEnd w:id="73"/>
    </w:p>
    <w:p w:rsidR="00764B02" w:rsidRPr="00584FDC" w:rsidRDefault="00764B02" w:rsidP="009A0491">
      <w:pPr>
        <w:pStyle w:val="ListParagraph"/>
        <w:numPr>
          <w:ilvl w:val="0"/>
          <w:numId w:val="8"/>
        </w:numPr>
        <w:ind w:left="1350"/>
        <w:rPr>
          <w:rStyle w:val="Hyperlink"/>
          <w:rFonts w:asciiTheme="minorHAnsi" w:hAnsiTheme="minorHAnsi"/>
          <w:sz w:val="16"/>
          <w:szCs w:val="16"/>
        </w:rPr>
      </w:pPr>
      <w:r w:rsidRPr="00584FDC">
        <w:rPr>
          <w:rStyle w:val="Hyperlink"/>
          <w:rFonts w:asciiTheme="minorHAnsi" w:hAnsiTheme="minorHAnsi"/>
          <w:sz w:val="16"/>
          <w:szCs w:val="16"/>
        </w:rPr>
        <w:t>http://www.medscape.com/viewarticle/868665?src=wnl_specrep_160918_mscpedit&amp;uac=4045DY&amp;impID=1198490&amp;faf=1</w:t>
      </w:r>
    </w:p>
    <w:p w:rsidR="00D023A4" w:rsidRPr="00584FDC" w:rsidRDefault="00D023A4" w:rsidP="00D023A4">
      <w:pPr>
        <w:pStyle w:val="Heading2"/>
        <w:rPr>
          <w:sz w:val="16"/>
          <w:szCs w:val="16"/>
        </w:rPr>
      </w:pPr>
      <w:bookmarkStart w:id="74" w:name="_Toc462066471"/>
      <w:bookmarkStart w:id="75" w:name="_Toc462233247"/>
      <w:r w:rsidRPr="00584FDC">
        <w:rPr>
          <w:sz w:val="16"/>
          <w:szCs w:val="16"/>
        </w:rPr>
        <w:t>CDC: New Vaccine Labels</w:t>
      </w:r>
      <w:bookmarkEnd w:id="74"/>
      <w:bookmarkEnd w:id="75"/>
    </w:p>
    <w:p w:rsidR="00D023A4" w:rsidRPr="00584FDC" w:rsidRDefault="00F41810" w:rsidP="009B75C1">
      <w:pPr>
        <w:rPr>
          <w:rStyle w:val="Hyperlink"/>
          <w:rFonts w:asciiTheme="minorHAnsi" w:hAnsiTheme="minorHAnsi"/>
          <w:sz w:val="16"/>
          <w:szCs w:val="16"/>
        </w:rPr>
      </w:pPr>
      <w:hyperlink r:id="rId38" w:tooltip="content.govdelivery.com" w:history="1">
        <w:r w:rsidR="00D023A4" w:rsidRPr="00584FDC">
          <w:rPr>
            <w:rStyle w:val="Hyperlink"/>
            <w:rFonts w:asciiTheme="minorHAnsi" w:hAnsiTheme="minorHAnsi"/>
            <w:sz w:val="16"/>
            <w:szCs w:val="16"/>
          </w:rPr>
          <w:t>https://content.govdelivery.com/accounts/USCDC/bulletins/15eb28b</w:t>
        </w:r>
      </w:hyperlink>
    </w:p>
    <w:p w:rsidR="00F95E70" w:rsidRPr="00584FDC" w:rsidRDefault="00F95E70" w:rsidP="00C079F8">
      <w:pPr>
        <w:pStyle w:val="Heading1"/>
        <w:rPr>
          <w:rFonts w:asciiTheme="minorHAnsi" w:hAnsiTheme="minorHAnsi"/>
          <w:b w:val="0"/>
          <w:sz w:val="16"/>
          <w:szCs w:val="16"/>
        </w:rPr>
      </w:pPr>
      <w:bookmarkStart w:id="76" w:name="_Toc457284425"/>
      <w:bookmarkStart w:id="77" w:name="_Toc462066467"/>
      <w:bookmarkStart w:id="78" w:name="_Toc462233248"/>
      <w:r w:rsidRPr="00584FDC">
        <w:rPr>
          <w:rFonts w:asciiTheme="minorHAnsi" w:hAnsiTheme="minorHAnsi"/>
          <w:sz w:val="16"/>
          <w:szCs w:val="16"/>
        </w:rPr>
        <w:t>INSURANCE</w:t>
      </w:r>
      <w:bookmarkEnd w:id="76"/>
      <w:bookmarkEnd w:id="77"/>
      <w:bookmarkEnd w:id="78"/>
    </w:p>
    <w:p w:rsidR="00270E01" w:rsidRPr="00584FDC" w:rsidRDefault="00270E01" w:rsidP="00270E01">
      <w:pPr>
        <w:pStyle w:val="Heading2"/>
        <w:rPr>
          <w:sz w:val="16"/>
          <w:szCs w:val="16"/>
        </w:rPr>
      </w:pPr>
      <w:bookmarkStart w:id="79" w:name="_Toc462066468"/>
      <w:bookmarkStart w:id="80" w:name="_Toc462233249"/>
      <w:bookmarkStart w:id="81" w:name="_Toc457284427"/>
      <w:r w:rsidRPr="00584FDC">
        <w:rPr>
          <w:sz w:val="16"/>
          <w:szCs w:val="16"/>
        </w:rPr>
        <w:t>4 Ways Pharmacists Can Be Superheroes for Medicare Patients</w:t>
      </w:r>
      <w:bookmarkEnd w:id="79"/>
      <w:bookmarkEnd w:id="80"/>
    </w:p>
    <w:p w:rsidR="00AA0FB5" w:rsidRPr="00584FDC" w:rsidRDefault="00F41810" w:rsidP="009A0491">
      <w:pPr>
        <w:pStyle w:val="ListParagraph"/>
        <w:numPr>
          <w:ilvl w:val="0"/>
          <w:numId w:val="8"/>
        </w:numPr>
        <w:ind w:left="1350"/>
        <w:rPr>
          <w:rStyle w:val="Hyperlink"/>
          <w:rFonts w:asciiTheme="minorHAnsi" w:hAnsiTheme="minorHAnsi"/>
          <w:sz w:val="16"/>
          <w:szCs w:val="16"/>
        </w:rPr>
      </w:pPr>
      <w:hyperlink r:id="rId39" w:history="1">
        <w:r w:rsidR="00270E01" w:rsidRPr="00584FDC">
          <w:rPr>
            <w:rStyle w:val="Hyperlink"/>
            <w:rFonts w:asciiTheme="minorHAnsi" w:hAnsiTheme="minorHAnsi"/>
            <w:sz w:val="16"/>
            <w:szCs w:val="16"/>
          </w:rPr>
          <w:t>http://www.pharmacytimes.com/news/4-ways-pharmacists-can-be-superheroes-for-medicare-patients?utm_source=Informz&amp;utm_medium=Pharmacy+Times&amp;utm_campaign=PT%5FeNews%5FDaily%5FUnsponsored%5F8%2D19%2D16</w:t>
        </w:r>
      </w:hyperlink>
    </w:p>
    <w:p w:rsidR="00EC5FDF" w:rsidRPr="00584FDC" w:rsidRDefault="00F95E70" w:rsidP="00EC5FDF">
      <w:pPr>
        <w:pStyle w:val="Heading1"/>
        <w:rPr>
          <w:rFonts w:asciiTheme="minorHAnsi" w:hAnsiTheme="minorHAnsi"/>
          <w:sz w:val="16"/>
          <w:szCs w:val="16"/>
        </w:rPr>
      </w:pPr>
      <w:bookmarkStart w:id="82" w:name="_Toc462066469"/>
      <w:bookmarkStart w:id="83" w:name="_Toc462233250"/>
      <w:r w:rsidRPr="00584FDC">
        <w:rPr>
          <w:rFonts w:asciiTheme="minorHAnsi" w:hAnsiTheme="minorHAnsi"/>
          <w:sz w:val="16"/>
          <w:szCs w:val="16"/>
        </w:rPr>
        <w:t>NEWS</w:t>
      </w:r>
      <w:bookmarkEnd w:id="81"/>
      <w:bookmarkEnd w:id="82"/>
      <w:bookmarkEnd w:id="83"/>
    </w:p>
    <w:p w:rsidR="00B348B9" w:rsidRPr="00584FDC" w:rsidRDefault="002503B3" w:rsidP="009B75C1">
      <w:bookmarkStart w:id="84" w:name="_Toc462066470"/>
      <w:bookmarkStart w:id="85" w:name="_Toc462233251"/>
      <w:r w:rsidRPr="00584FDC">
        <w:t xml:space="preserve">CDC: </w:t>
      </w:r>
      <w:r w:rsidR="00B348B9" w:rsidRPr="00584FDC">
        <w:t>Updated guidance for care of infants born to mothers with possible Zika infection during pregnancy</w:t>
      </w:r>
      <w:r w:rsidRPr="00584FDC">
        <w:t xml:space="preserve"> </w:t>
      </w:r>
      <w:r w:rsidR="00B348B9" w:rsidRPr="00584FDC">
        <w:t>(08/19/16)</w:t>
      </w:r>
      <w:bookmarkEnd w:id="84"/>
      <w:bookmarkEnd w:id="85"/>
    </w:p>
    <w:p w:rsidR="00B348B9" w:rsidRPr="00584FDC" w:rsidRDefault="00F41810" w:rsidP="009B75C1">
      <w:pPr>
        <w:rPr>
          <w:rStyle w:val="Hyperlink"/>
          <w:rFonts w:asciiTheme="minorHAnsi" w:hAnsiTheme="minorHAnsi"/>
          <w:sz w:val="16"/>
          <w:szCs w:val="16"/>
        </w:rPr>
      </w:pPr>
      <w:hyperlink r:id="rId40" w:tooltip="echo4.bluehornet.com" w:history="1">
        <w:r w:rsidR="00B348B9" w:rsidRPr="00584FDC">
          <w:rPr>
            <w:rStyle w:val="Hyperlink"/>
            <w:rFonts w:asciiTheme="minorHAnsi" w:hAnsiTheme="minorHAnsi"/>
            <w:sz w:val="16"/>
            <w:szCs w:val="16"/>
          </w:rPr>
          <w:t>http://echo4.bluehornet.com/hostedemail/email.htm?CID=35959271192&amp;ch=28C78D77543DA38E236504C34EB2ED35&amp;h=b18a40afb5a0becc04904f3238b98be7&amp;ei=T1dSfZYNO&amp;schema=echo4</w:t>
        </w:r>
      </w:hyperlink>
    </w:p>
    <w:p w:rsidR="007136CD" w:rsidRPr="00584FDC" w:rsidRDefault="0076773D" w:rsidP="007136CD">
      <w:pPr>
        <w:pStyle w:val="Heading2"/>
        <w:rPr>
          <w:sz w:val="16"/>
          <w:szCs w:val="16"/>
        </w:rPr>
      </w:pPr>
      <w:bookmarkStart w:id="86" w:name="_Toc462066472"/>
      <w:bookmarkStart w:id="87" w:name="_Toc462233252"/>
      <w:r w:rsidRPr="00584FDC">
        <w:rPr>
          <w:sz w:val="16"/>
          <w:szCs w:val="16"/>
        </w:rPr>
        <w:t xml:space="preserve">CDC: </w:t>
      </w:r>
      <w:r w:rsidR="007136CD" w:rsidRPr="00584FDC">
        <w:rPr>
          <w:sz w:val="16"/>
          <w:szCs w:val="16"/>
        </w:rPr>
        <w:t>Valley Fever Awareness</w:t>
      </w:r>
      <w:bookmarkEnd w:id="86"/>
      <w:bookmarkEnd w:id="87"/>
    </w:p>
    <w:p w:rsidR="007136CD" w:rsidRPr="00584FDC" w:rsidRDefault="00F41810" w:rsidP="009B75C1">
      <w:pPr>
        <w:rPr>
          <w:rStyle w:val="Hyperlink"/>
          <w:rFonts w:asciiTheme="minorHAnsi" w:hAnsiTheme="minorHAnsi"/>
          <w:sz w:val="16"/>
          <w:szCs w:val="16"/>
        </w:rPr>
      </w:pPr>
      <w:hyperlink r:id="rId41" w:tooltip="cdc.gov" w:history="1">
        <w:r w:rsidR="007136CD" w:rsidRPr="00584FDC">
          <w:rPr>
            <w:rStyle w:val="Hyperlink"/>
            <w:rFonts w:asciiTheme="minorHAnsi" w:hAnsiTheme="minorHAnsi"/>
            <w:sz w:val="16"/>
            <w:szCs w:val="16"/>
          </w:rPr>
          <w:t>http://www.cdc.gov/features/valleyfever/index.html</w:t>
        </w:r>
      </w:hyperlink>
    </w:p>
    <w:p w:rsidR="00D93F7C" w:rsidRPr="00584FDC" w:rsidRDefault="00D93F7C" w:rsidP="00270E01">
      <w:pPr>
        <w:pStyle w:val="Heading2"/>
        <w:rPr>
          <w:sz w:val="16"/>
          <w:szCs w:val="16"/>
        </w:rPr>
      </w:pPr>
      <w:bookmarkStart w:id="88" w:name="_Toc462066474"/>
      <w:bookmarkStart w:id="89" w:name="_Toc462233253"/>
      <w:r w:rsidRPr="00584FDC">
        <w:rPr>
          <w:sz w:val="16"/>
          <w:szCs w:val="16"/>
        </w:rPr>
        <w:t>FDA Declares ‘General Wellness’ Devices Exempt From Regulations</w:t>
      </w:r>
      <w:bookmarkEnd w:id="88"/>
      <w:bookmarkEnd w:id="89"/>
    </w:p>
    <w:p w:rsidR="00D93F7C" w:rsidRPr="00584FDC" w:rsidRDefault="00F41810" w:rsidP="009A0491">
      <w:pPr>
        <w:pStyle w:val="ListParagraph"/>
        <w:numPr>
          <w:ilvl w:val="0"/>
          <w:numId w:val="10"/>
        </w:numPr>
        <w:ind w:left="1350"/>
        <w:rPr>
          <w:rStyle w:val="Hyperlink"/>
          <w:rFonts w:asciiTheme="minorHAnsi" w:hAnsiTheme="minorHAnsi"/>
          <w:sz w:val="16"/>
          <w:szCs w:val="16"/>
        </w:rPr>
      </w:pPr>
      <w:hyperlink r:id="rId42" w:tooltip="raps.org" w:history="1">
        <w:r w:rsidR="00D93F7C" w:rsidRPr="00584FDC">
          <w:rPr>
            <w:rStyle w:val="Hyperlink"/>
            <w:rFonts w:asciiTheme="minorHAnsi" w:hAnsiTheme="minorHAnsi"/>
            <w:sz w:val="16"/>
            <w:szCs w:val="16"/>
          </w:rPr>
          <w:t>http://www.raps.org/Regulatory-Focus/News/2016/07/28/25463/FDA-Says-%E2%80%98General-Wellness%E2%80%99-Devices-Exempt-From-Regulations/</w:t>
        </w:r>
      </w:hyperlink>
    </w:p>
    <w:p w:rsidR="00D023A4" w:rsidRDefault="00D023A4">
      <w:pPr>
        <w:rPr>
          <w:rStyle w:val="Hyperlink"/>
          <w:rFonts w:asciiTheme="minorHAnsi" w:hAnsiTheme="minorHAnsi" w:cs="Times New Roman"/>
          <w:sz w:val="16"/>
          <w:szCs w:val="16"/>
        </w:rPr>
      </w:pPr>
      <w:r>
        <w:rPr>
          <w:rStyle w:val="Hyperlink"/>
          <w:rFonts w:asciiTheme="minorHAnsi" w:hAnsiTheme="minorHAnsi"/>
          <w:sz w:val="16"/>
          <w:szCs w:val="16"/>
        </w:rPr>
        <w:br w:type="page"/>
      </w:r>
    </w:p>
    <w:p w:rsidR="00D93F7C" w:rsidRPr="00584FDC" w:rsidRDefault="00D93F7C" w:rsidP="00D93F7C">
      <w:pPr>
        <w:pStyle w:val="Heading2"/>
        <w:rPr>
          <w:sz w:val="16"/>
          <w:szCs w:val="16"/>
          <w:lang w:val="en"/>
        </w:rPr>
      </w:pPr>
      <w:bookmarkStart w:id="90" w:name="_Toc462066476"/>
      <w:bookmarkStart w:id="91" w:name="_Toc462233254"/>
      <w:r w:rsidRPr="00584FDC">
        <w:rPr>
          <w:sz w:val="16"/>
          <w:szCs w:val="16"/>
        </w:rPr>
        <w:lastRenderedPageBreak/>
        <w:t>DEA Announces Intent to Schedule Kratom - For immediate release</w:t>
      </w:r>
      <w:bookmarkEnd w:id="90"/>
      <w:bookmarkEnd w:id="91"/>
      <w:r w:rsidRPr="00584FDC">
        <w:rPr>
          <w:sz w:val="16"/>
          <w:szCs w:val="16"/>
          <w:lang w:val="en"/>
        </w:rPr>
        <w:t xml:space="preserve"> </w:t>
      </w:r>
    </w:p>
    <w:p w:rsidR="00D93F7C" w:rsidRPr="00584FDC" w:rsidRDefault="00D93F7C" w:rsidP="00D93F7C">
      <w:pPr>
        <w:pStyle w:val="NormalWeb"/>
        <w:spacing w:before="0" w:beforeAutospacing="0" w:after="0" w:afterAutospacing="0"/>
        <w:ind w:left="1080"/>
        <w:rPr>
          <w:rFonts w:asciiTheme="minorHAnsi" w:hAnsiTheme="minorHAnsi"/>
          <w:sz w:val="16"/>
          <w:szCs w:val="16"/>
          <w:lang w:val="en"/>
        </w:rPr>
      </w:pPr>
      <w:r w:rsidRPr="00584FDC">
        <w:rPr>
          <w:rFonts w:asciiTheme="minorHAnsi" w:hAnsiTheme="minorHAnsi"/>
          <w:sz w:val="16"/>
          <w:szCs w:val="16"/>
          <w:lang w:val="en"/>
        </w:rPr>
        <w:t xml:space="preserve"> Contact DEA Public Affairs (202) 307-7977</w:t>
      </w:r>
    </w:p>
    <w:p w:rsidR="00D93F7C" w:rsidRPr="00584FDC" w:rsidRDefault="00D93F7C" w:rsidP="00D93F7C">
      <w:pPr>
        <w:pStyle w:val="xmsonormal"/>
        <w:rPr>
          <w:rFonts w:asciiTheme="minorHAnsi" w:hAnsiTheme="minorHAnsi"/>
          <w:sz w:val="16"/>
          <w:szCs w:val="16"/>
          <w:lang w:val="en"/>
        </w:rPr>
      </w:pPr>
      <w:r w:rsidRPr="00584FDC">
        <w:rPr>
          <w:rFonts w:asciiTheme="minorHAnsi" w:hAnsiTheme="minorHAnsi"/>
          <w:sz w:val="16"/>
          <w:szCs w:val="16"/>
          <w:lang w:val="en"/>
        </w:rPr>
        <w:t xml:space="preserve">Washington, DC – The Drug Enforcement Administration (DEA) today announced its intention to place the active materials in the kratom plant into Schedule I of the Controlled Substances Act in order to avoid an imminent hazard to public safety. Mitragynine and 7-hydroxymitragynine are found in kratom, which is a tropical tree indigenous to Thailand, Malaysia, Myanmar, and other areas of Southeast Asia.  The announcement was made in the U.S. Federal Register and can be found </w:t>
      </w:r>
      <w:hyperlink r:id="rId43" w:history="1">
        <w:r w:rsidRPr="00584FDC">
          <w:rPr>
            <w:rStyle w:val="Hyperlink"/>
            <w:rFonts w:asciiTheme="minorHAnsi" w:hAnsiTheme="minorHAnsi"/>
            <w:sz w:val="16"/>
            <w:szCs w:val="16"/>
            <w:lang w:val="en"/>
          </w:rPr>
          <w:t>here</w:t>
        </w:r>
      </w:hyperlink>
      <w:r w:rsidRPr="00584FDC">
        <w:rPr>
          <w:rFonts w:asciiTheme="minorHAnsi" w:hAnsiTheme="minorHAnsi"/>
          <w:sz w:val="16"/>
          <w:szCs w:val="16"/>
          <w:lang w:val="en"/>
        </w:rPr>
        <w:t>. </w:t>
      </w:r>
    </w:p>
    <w:p w:rsidR="00D93F7C" w:rsidRPr="00584FDC" w:rsidRDefault="00D93F7C" w:rsidP="00D93F7C">
      <w:pPr>
        <w:pStyle w:val="xmsonormal"/>
        <w:rPr>
          <w:rFonts w:asciiTheme="minorHAnsi" w:hAnsiTheme="minorHAnsi"/>
          <w:sz w:val="16"/>
          <w:szCs w:val="16"/>
          <w:lang w:val="en"/>
        </w:rPr>
      </w:pPr>
      <w:r w:rsidRPr="00584FDC">
        <w:rPr>
          <w:rFonts w:asciiTheme="minorHAnsi" w:hAnsiTheme="minorHAnsi"/>
          <w:sz w:val="16"/>
          <w:szCs w:val="16"/>
          <w:lang w:val="en"/>
        </w:rPr>
        <w:t>Kratom is abused for its ability to produce opioid-like effects and is often marketed as a legal alternative to controlled substances. Law enforcement nationwide has seized more kratom in the first half of 2016 than any previous year and easily accounts for millions of dosages intended for the recreational market, according to DEA findings.  In addition, kratom has a high potential for abuse, has no currently accepted medical use in treatment in the United States, and has a lack of accepted safety for use under medical supervision. These three factors constitute a Schedule I controlled substance according to the Controlled Substances Act passed by Congress in 1970.</w:t>
      </w:r>
    </w:p>
    <w:p w:rsidR="00D93F7C" w:rsidRPr="00584FDC" w:rsidRDefault="00D93F7C" w:rsidP="00D93F7C">
      <w:pPr>
        <w:pStyle w:val="xmsonormal"/>
        <w:rPr>
          <w:rFonts w:asciiTheme="minorHAnsi" w:hAnsiTheme="minorHAnsi"/>
          <w:sz w:val="16"/>
          <w:szCs w:val="16"/>
          <w:lang w:val="en"/>
        </w:rPr>
      </w:pPr>
      <w:r w:rsidRPr="00584FDC">
        <w:rPr>
          <w:rFonts w:asciiTheme="minorHAnsi" w:hAnsiTheme="minorHAnsi"/>
          <w:sz w:val="16"/>
          <w:szCs w:val="16"/>
          <w:lang w:val="en"/>
        </w:rPr>
        <w:t> Kratom has been seized by law enforcement in various forms, including powder, plant, capsules, tablets, liquids, gum/resin, and drug patch. Because the identity, purity levels, and quantity of these substances are uncertain and inconsistent, they pose significant adverse health risks to users. </w:t>
      </w:r>
    </w:p>
    <w:p w:rsidR="00D93F7C" w:rsidRPr="00584FDC" w:rsidRDefault="00D93F7C" w:rsidP="00D93F7C">
      <w:pPr>
        <w:pStyle w:val="xmsonormal"/>
        <w:rPr>
          <w:rFonts w:asciiTheme="minorHAnsi" w:hAnsiTheme="minorHAnsi"/>
          <w:sz w:val="16"/>
          <w:szCs w:val="16"/>
          <w:lang w:val="en"/>
        </w:rPr>
      </w:pPr>
      <w:r w:rsidRPr="00584FDC">
        <w:rPr>
          <w:rFonts w:asciiTheme="minorHAnsi" w:hAnsiTheme="minorHAnsi"/>
          <w:sz w:val="16"/>
          <w:szCs w:val="16"/>
          <w:lang w:val="en"/>
        </w:rPr>
        <w:t>From February 2014 to July 2016, over 55,000 kilograms of kratom material were encountered by law enforcement at various ports of entry within the United States. Additionally, another 57,000+ kilograms of kratom material offered for import into the United States between 2014 and 2016 are awaiting an FDA admissibility decision. Together, this material is enough to produce over 12 million doses of kratom. The FDA has also warned the public not to use any products labeled as containing kratom due to concerns about toxicity and potential health impacts. In addition, FDA has issued and updated two import alerts related to kratom products.  Kratom has been on DEA’s list of drugs and chemicals of concern for several years.</w:t>
      </w:r>
    </w:p>
    <w:p w:rsidR="00D93F7C" w:rsidRPr="00584FDC" w:rsidRDefault="00D93F7C" w:rsidP="00D93F7C">
      <w:pPr>
        <w:pStyle w:val="xmsonormal"/>
        <w:rPr>
          <w:rFonts w:asciiTheme="minorHAnsi" w:hAnsiTheme="minorHAnsi"/>
          <w:sz w:val="16"/>
          <w:szCs w:val="16"/>
          <w:lang w:val="en"/>
        </w:rPr>
      </w:pPr>
      <w:r w:rsidRPr="00584FDC">
        <w:rPr>
          <w:rFonts w:asciiTheme="minorHAnsi" w:hAnsiTheme="minorHAnsi"/>
          <w:sz w:val="16"/>
          <w:szCs w:val="16"/>
          <w:lang w:val="en"/>
        </w:rPr>
        <w:t> The American Association of Poison Control Centers identified two exposures to kratom from 2000 and 2005.  Between 2010 and 2015, U.S. poison centers received 660 calls related to kratom exposure. The Center for Disease Control (CDC) found that kratom abuse leads to agitation, irritability, tachycardia,  nausea, drowsiness, and hypertension. Health risks found in kratom abusers include hepatotoxicity, psychosis, seizure, weight loss, insomnia, tachycardia, vomiting, poor concentration, hallucinations, and death. DEA is aware of 15 kratom-related deaths between 2014 and 2016.</w:t>
      </w:r>
    </w:p>
    <w:p w:rsidR="00F32D93" w:rsidRPr="00584FDC" w:rsidRDefault="00F32D93" w:rsidP="00F32D93">
      <w:pPr>
        <w:pStyle w:val="Heading2"/>
        <w:rPr>
          <w:sz w:val="16"/>
          <w:szCs w:val="16"/>
        </w:rPr>
      </w:pPr>
      <w:bookmarkStart w:id="92" w:name="_Toc462066478"/>
      <w:bookmarkStart w:id="93" w:name="_Toc462233255"/>
      <w:r w:rsidRPr="00584FDC">
        <w:rPr>
          <w:sz w:val="16"/>
          <w:szCs w:val="16"/>
        </w:rPr>
        <w:t>Drug Topic – Resource Center</w:t>
      </w:r>
      <w:bookmarkEnd w:id="92"/>
      <w:bookmarkEnd w:id="93"/>
    </w:p>
    <w:p w:rsidR="00F32D93" w:rsidRPr="00584FDC" w:rsidRDefault="00F41810" w:rsidP="009A0491">
      <w:pPr>
        <w:pStyle w:val="ListParagraph"/>
        <w:numPr>
          <w:ilvl w:val="0"/>
          <w:numId w:val="10"/>
        </w:numPr>
        <w:ind w:left="1350"/>
        <w:rPr>
          <w:rStyle w:val="Hyperlink"/>
          <w:rFonts w:asciiTheme="minorHAnsi" w:hAnsiTheme="minorHAnsi"/>
          <w:sz w:val="16"/>
          <w:szCs w:val="16"/>
        </w:rPr>
      </w:pPr>
      <w:hyperlink r:id="rId44" w:tooltip="drugtopics.modernmedicine.com" w:history="1">
        <w:r w:rsidR="00F32D93" w:rsidRPr="00584FDC">
          <w:rPr>
            <w:rStyle w:val="Hyperlink"/>
            <w:rFonts w:asciiTheme="minorHAnsi" w:hAnsiTheme="minorHAnsi"/>
            <w:sz w:val="16"/>
            <w:szCs w:val="16"/>
          </w:rPr>
          <w:t>http://drugtopics.modernmedicine.com/tag/generics?cfcache=true&amp;GUID=4E10CEE7-7762-4945-BD54-02AD876BC4C3&amp;rememberme=1&amp;ts=12092016</w:t>
        </w:r>
      </w:hyperlink>
    </w:p>
    <w:p w:rsidR="003B4D00" w:rsidRPr="00584FDC" w:rsidRDefault="003B4D00" w:rsidP="003B4D00">
      <w:pPr>
        <w:pStyle w:val="Heading2"/>
        <w:rPr>
          <w:sz w:val="16"/>
          <w:szCs w:val="16"/>
        </w:rPr>
      </w:pPr>
      <w:bookmarkStart w:id="94" w:name="_Toc462066479"/>
      <w:bookmarkStart w:id="95" w:name="_Toc462233256"/>
      <w:r w:rsidRPr="00584FDC">
        <w:rPr>
          <w:sz w:val="16"/>
          <w:szCs w:val="16"/>
        </w:rPr>
        <w:t>4 Things Pharmacists Should Know About Opioid-Induced Constipation</w:t>
      </w:r>
      <w:bookmarkEnd w:id="94"/>
      <w:bookmarkEnd w:id="95"/>
    </w:p>
    <w:p w:rsidR="003B4D00" w:rsidRPr="00584FDC" w:rsidRDefault="00F41810" w:rsidP="009A0491">
      <w:pPr>
        <w:pStyle w:val="ListParagraph"/>
        <w:numPr>
          <w:ilvl w:val="0"/>
          <w:numId w:val="10"/>
        </w:numPr>
        <w:ind w:left="1350"/>
        <w:rPr>
          <w:rStyle w:val="Hyperlink"/>
          <w:rFonts w:asciiTheme="minorHAnsi" w:hAnsiTheme="minorHAnsi"/>
          <w:sz w:val="16"/>
          <w:szCs w:val="16"/>
        </w:rPr>
      </w:pPr>
      <w:hyperlink r:id="rId45" w:history="1">
        <w:r w:rsidR="003B4D00" w:rsidRPr="00584FDC">
          <w:rPr>
            <w:rStyle w:val="Hyperlink"/>
            <w:rFonts w:asciiTheme="minorHAnsi" w:hAnsiTheme="minorHAnsi"/>
            <w:sz w:val="16"/>
            <w:szCs w:val="16"/>
          </w:rPr>
          <w:t>http://www.pharmacytimes.com/conferences/painweek-2016/4-things-pharmacists-should-know-about-opioid-induced-constipation?utm_source=Informz&amp;utm_medium=Pharmacy+Times&amp;utm_campaign=PT%5FPAIN%5FWEEK%5FConference%5FDay%5F2%5F9%2D8%2D16</w:t>
        </w:r>
      </w:hyperlink>
    </w:p>
    <w:p w:rsidR="003B4D00" w:rsidRPr="00584FDC" w:rsidRDefault="00F41810" w:rsidP="009B75C1">
      <w:pPr>
        <w:rPr>
          <w:sz w:val="16"/>
          <w:szCs w:val="16"/>
        </w:rPr>
      </w:pPr>
      <w:hyperlink r:id="rId46" w:tgtFrame="_blank" w:history="1">
        <w:bookmarkStart w:id="96" w:name="_Toc462066480"/>
        <w:bookmarkStart w:id="97" w:name="_Toc462233257"/>
        <w:r w:rsidR="003B4D00" w:rsidRPr="00584FDC">
          <w:rPr>
            <w:sz w:val="16"/>
            <w:szCs w:val="16"/>
          </w:rPr>
          <w:t>Video: How Pharmacists Can Help Prevent OIC</w:t>
        </w:r>
        <w:bookmarkEnd w:id="96"/>
        <w:bookmarkEnd w:id="97"/>
      </w:hyperlink>
    </w:p>
    <w:p w:rsidR="003B4D00" w:rsidRPr="00584FDC" w:rsidRDefault="00F41810" w:rsidP="009A0491">
      <w:pPr>
        <w:pStyle w:val="ListParagraph"/>
        <w:numPr>
          <w:ilvl w:val="0"/>
          <w:numId w:val="10"/>
        </w:numPr>
        <w:ind w:left="1350"/>
        <w:rPr>
          <w:rStyle w:val="Hyperlink"/>
          <w:rFonts w:asciiTheme="minorHAnsi" w:hAnsiTheme="minorHAnsi"/>
          <w:sz w:val="16"/>
          <w:szCs w:val="16"/>
        </w:rPr>
      </w:pPr>
      <w:hyperlink r:id="rId47" w:history="1">
        <w:r w:rsidR="003B4D00" w:rsidRPr="00584FDC">
          <w:rPr>
            <w:rStyle w:val="Hyperlink"/>
            <w:rFonts w:asciiTheme="minorHAnsi" w:hAnsiTheme="minorHAnsi"/>
            <w:sz w:val="16"/>
            <w:szCs w:val="16"/>
          </w:rPr>
          <w:t>http://www.pharmacytimes.com/conferences/painweek-2016/how-pharmacists-can-help-prevent-oic?utm_source=Informz&amp;utm_medium=Pharmacy+Times&amp;utm_campaign=PT%5FPAIN%5FWEEK%5FConference%5FDay%5F2%5F9%2D8%2D16</w:t>
        </w:r>
      </w:hyperlink>
    </w:p>
    <w:p w:rsidR="003B4D00" w:rsidRPr="00584FDC" w:rsidRDefault="00F41810" w:rsidP="009B75C1">
      <w:pPr>
        <w:rPr>
          <w:sz w:val="16"/>
          <w:szCs w:val="16"/>
        </w:rPr>
      </w:pPr>
      <w:hyperlink r:id="rId48" w:tgtFrame="_blank" w:history="1">
        <w:bookmarkStart w:id="98" w:name="_Toc462066481"/>
        <w:bookmarkStart w:id="99" w:name="_Toc462233258"/>
        <w:r w:rsidR="003B4D00" w:rsidRPr="00584FDC">
          <w:rPr>
            <w:sz w:val="16"/>
            <w:szCs w:val="16"/>
          </w:rPr>
          <w:t>Video: Steps Pharmacists Should Take to Reduce OIC</w:t>
        </w:r>
        <w:bookmarkEnd w:id="98"/>
        <w:bookmarkEnd w:id="99"/>
      </w:hyperlink>
    </w:p>
    <w:p w:rsidR="003B4D00" w:rsidRPr="00584FDC" w:rsidRDefault="00F41810" w:rsidP="009A0491">
      <w:pPr>
        <w:pStyle w:val="ListParagraph"/>
        <w:numPr>
          <w:ilvl w:val="0"/>
          <w:numId w:val="10"/>
        </w:numPr>
        <w:ind w:left="1350"/>
        <w:rPr>
          <w:rStyle w:val="Hyperlink"/>
          <w:rFonts w:asciiTheme="minorHAnsi" w:hAnsiTheme="minorHAnsi"/>
          <w:sz w:val="16"/>
          <w:szCs w:val="16"/>
        </w:rPr>
      </w:pPr>
      <w:hyperlink r:id="rId49" w:history="1">
        <w:r w:rsidR="003B4D00" w:rsidRPr="00584FDC">
          <w:rPr>
            <w:rStyle w:val="Hyperlink"/>
            <w:rFonts w:asciiTheme="minorHAnsi" w:hAnsiTheme="minorHAnsi"/>
            <w:sz w:val="16"/>
            <w:szCs w:val="16"/>
          </w:rPr>
          <w:t>http://www.pharmacytimes.com/conferences/painweek-2016/steps-pharmacists-should-take-to-reduce-oic?utm_source=Informz&amp;utm_medium=Pharmacy+Times&amp;utm_campaign=PT%5FPAIN%5FWEEK%5FConference%5FDay%5F2%5F9%2D8%2D16</w:t>
        </w:r>
      </w:hyperlink>
    </w:p>
    <w:p w:rsidR="00246EEA" w:rsidRPr="00584FDC" w:rsidRDefault="00246EEA" w:rsidP="00246EEA">
      <w:pPr>
        <w:pStyle w:val="Heading2"/>
        <w:rPr>
          <w:sz w:val="16"/>
          <w:szCs w:val="16"/>
        </w:rPr>
      </w:pPr>
      <w:bookmarkStart w:id="100" w:name="_Toc462066482"/>
      <w:bookmarkStart w:id="101" w:name="_Toc462233259"/>
      <w:r w:rsidRPr="00584FDC">
        <w:rPr>
          <w:sz w:val="16"/>
          <w:szCs w:val="16"/>
        </w:rPr>
        <w:t>NAN Alert – Observe for possible fluid leakage when preparing parenteral syringes</w:t>
      </w:r>
      <w:bookmarkEnd w:id="100"/>
      <w:bookmarkEnd w:id="101"/>
    </w:p>
    <w:p w:rsidR="00246EEA" w:rsidRPr="00584FDC" w:rsidRDefault="00F41810" w:rsidP="009A0491">
      <w:pPr>
        <w:pStyle w:val="ListParagraph"/>
        <w:numPr>
          <w:ilvl w:val="0"/>
          <w:numId w:val="10"/>
        </w:numPr>
        <w:ind w:left="1350"/>
        <w:rPr>
          <w:rStyle w:val="Hyperlink"/>
          <w:rFonts w:asciiTheme="minorHAnsi" w:hAnsiTheme="minorHAnsi"/>
          <w:sz w:val="16"/>
          <w:szCs w:val="16"/>
        </w:rPr>
      </w:pPr>
      <w:hyperlink r:id="rId50" w:tooltip="ismp.org" w:history="1">
        <w:r w:rsidR="00DA7E0E" w:rsidRPr="00584FDC">
          <w:rPr>
            <w:rStyle w:val="Hyperlink"/>
            <w:rFonts w:asciiTheme="minorHAnsi" w:hAnsiTheme="minorHAnsi"/>
            <w:sz w:val="16"/>
            <w:szCs w:val="16"/>
          </w:rPr>
          <w:t>http://www.ismp.org/NAN/files/NAN-20160915.pdf</w:t>
        </w:r>
      </w:hyperlink>
    </w:p>
    <w:p w:rsidR="00DA7E0E" w:rsidRPr="00584FDC" w:rsidRDefault="00DA7E0E" w:rsidP="00DA7E0E">
      <w:pPr>
        <w:pStyle w:val="Heading2"/>
        <w:rPr>
          <w:sz w:val="16"/>
          <w:szCs w:val="16"/>
        </w:rPr>
      </w:pPr>
      <w:bookmarkStart w:id="102" w:name="_Toc462066483"/>
      <w:bookmarkStart w:id="103" w:name="_Toc462233260"/>
      <w:r w:rsidRPr="00584FDC">
        <w:rPr>
          <w:sz w:val="16"/>
          <w:szCs w:val="16"/>
        </w:rPr>
        <w:t>Splenda launches stevia sweetener</w:t>
      </w:r>
      <w:bookmarkEnd w:id="102"/>
      <w:bookmarkEnd w:id="103"/>
    </w:p>
    <w:p w:rsidR="00DA7E0E" w:rsidRPr="00584FDC" w:rsidRDefault="00F41810" w:rsidP="009A0491">
      <w:pPr>
        <w:pStyle w:val="ListParagraph"/>
        <w:numPr>
          <w:ilvl w:val="0"/>
          <w:numId w:val="10"/>
        </w:numPr>
        <w:ind w:left="1350"/>
        <w:rPr>
          <w:rStyle w:val="Hyperlink"/>
          <w:rFonts w:asciiTheme="minorHAnsi" w:hAnsiTheme="minorHAnsi"/>
          <w:sz w:val="16"/>
          <w:szCs w:val="16"/>
        </w:rPr>
      </w:pPr>
      <w:hyperlink r:id="rId51" w:tooltip="drugstorenews.com" w:history="1">
        <w:r w:rsidR="00DA7E0E" w:rsidRPr="00584FDC">
          <w:rPr>
            <w:rStyle w:val="Hyperlink"/>
            <w:rFonts w:asciiTheme="minorHAnsi" w:hAnsiTheme="minorHAnsi"/>
            <w:sz w:val="16"/>
            <w:szCs w:val="16"/>
          </w:rPr>
          <w:t>http://www.drugstorenews.com/article/splenda-launches-stevia-sweetener?tp=i-H55-Q5U-1ez-24sAx-1v-wGU-1c-Nuq-24s54-6bK49&amp;utm_campaign=Daily&amp;utm_source=Experian&amp;utm_medium=email&amp;cid=6385&amp;mid=30714239</w:t>
        </w:r>
      </w:hyperlink>
    </w:p>
    <w:p w:rsidR="00DA7E0E" w:rsidRPr="00584FDC" w:rsidRDefault="00DA7E0E" w:rsidP="00DA7E0E">
      <w:pPr>
        <w:pStyle w:val="Heading2"/>
        <w:rPr>
          <w:sz w:val="16"/>
          <w:szCs w:val="16"/>
        </w:rPr>
      </w:pPr>
      <w:bookmarkStart w:id="104" w:name="_Toc462066484"/>
      <w:bookmarkStart w:id="105" w:name="_Toc462233261"/>
      <w:r w:rsidRPr="00584FDC">
        <w:rPr>
          <w:sz w:val="16"/>
          <w:szCs w:val="16"/>
        </w:rPr>
        <w:t>PrescribeWellness partners with Independent Pharmacy Alliance</w:t>
      </w:r>
      <w:bookmarkEnd w:id="104"/>
      <w:bookmarkEnd w:id="105"/>
    </w:p>
    <w:p w:rsidR="00DA7E0E" w:rsidRPr="00584FDC" w:rsidRDefault="00F41810" w:rsidP="009A0491">
      <w:pPr>
        <w:pStyle w:val="ListParagraph"/>
        <w:numPr>
          <w:ilvl w:val="0"/>
          <w:numId w:val="10"/>
        </w:numPr>
        <w:ind w:left="1350"/>
        <w:rPr>
          <w:rStyle w:val="Hyperlink"/>
          <w:rFonts w:asciiTheme="minorHAnsi" w:hAnsiTheme="minorHAnsi"/>
          <w:sz w:val="16"/>
          <w:szCs w:val="16"/>
        </w:rPr>
      </w:pPr>
      <w:hyperlink r:id="rId52" w:tooltip="drugstorenews.com" w:history="1">
        <w:r w:rsidR="00DA7E0E" w:rsidRPr="00584FDC">
          <w:rPr>
            <w:rStyle w:val="Hyperlink"/>
            <w:rFonts w:asciiTheme="minorHAnsi" w:hAnsiTheme="minorHAnsi"/>
            <w:sz w:val="16"/>
            <w:szCs w:val="16"/>
          </w:rPr>
          <w:t>http://www.drugstorenews.com/article/prescribewellness-partners-independent-pharmacy-alliance?tp=i-H55-Q5U-1ez-24sAx-1v-wGU-1c-Nuf-24s54-5OoKm&amp;utm_campaign=Daily&amp;utm_source=Experian&amp;utm_medium=email&amp;cid=6385&amp;mid=30714239</w:t>
        </w:r>
      </w:hyperlink>
    </w:p>
    <w:p w:rsidR="007D06C4" w:rsidRPr="00584FDC" w:rsidRDefault="007D06C4" w:rsidP="007D06C4">
      <w:pPr>
        <w:pStyle w:val="Heading2"/>
        <w:rPr>
          <w:sz w:val="16"/>
          <w:szCs w:val="16"/>
        </w:rPr>
      </w:pPr>
      <w:bookmarkStart w:id="106" w:name="_Toc462066485"/>
      <w:bookmarkStart w:id="107" w:name="_Toc462233262"/>
      <w:r w:rsidRPr="00584FDC">
        <w:rPr>
          <w:sz w:val="16"/>
          <w:szCs w:val="16"/>
        </w:rPr>
        <w:t>Many With Diabetes Missing Out on Statins</w:t>
      </w:r>
      <w:bookmarkEnd w:id="106"/>
      <w:bookmarkEnd w:id="107"/>
    </w:p>
    <w:p w:rsidR="007D06C4" w:rsidRPr="00584FDC" w:rsidRDefault="00F41810" w:rsidP="007D06C4">
      <w:pPr>
        <w:pStyle w:val="ListParagraph"/>
        <w:numPr>
          <w:ilvl w:val="0"/>
          <w:numId w:val="10"/>
        </w:numPr>
        <w:ind w:left="1350"/>
        <w:rPr>
          <w:rStyle w:val="Hyperlink"/>
          <w:rFonts w:asciiTheme="minorHAnsi" w:hAnsiTheme="minorHAnsi"/>
          <w:sz w:val="16"/>
          <w:szCs w:val="16"/>
        </w:rPr>
      </w:pPr>
      <w:hyperlink r:id="rId53" w:tooltip="medlineplus.gov" w:history="1">
        <w:r w:rsidR="007D06C4" w:rsidRPr="00584FDC">
          <w:rPr>
            <w:rStyle w:val="Hyperlink"/>
            <w:rFonts w:asciiTheme="minorHAnsi" w:hAnsiTheme="minorHAnsi"/>
            <w:sz w:val="16"/>
            <w:szCs w:val="16"/>
          </w:rPr>
          <w:t>https://medlineplus.gov/news/fullstory_160908.html</w:t>
        </w:r>
      </w:hyperlink>
    </w:p>
    <w:p w:rsidR="007D06C4" w:rsidRPr="00584FDC" w:rsidRDefault="007D06C4" w:rsidP="007D06C4">
      <w:pPr>
        <w:pStyle w:val="Heading2"/>
        <w:rPr>
          <w:sz w:val="16"/>
          <w:szCs w:val="16"/>
        </w:rPr>
      </w:pPr>
      <w:bookmarkStart w:id="108" w:name="_Toc462066486"/>
      <w:bookmarkStart w:id="109" w:name="_Toc462233263"/>
      <w:r w:rsidRPr="00584FDC">
        <w:rPr>
          <w:sz w:val="16"/>
          <w:szCs w:val="16"/>
        </w:rPr>
        <w:t>Zika Found in Eye Fluid in Study</w:t>
      </w:r>
      <w:bookmarkEnd w:id="108"/>
      <w:bookmarkEnd w:id="109"/>
    </w:p>
    <w:p w:rsidR="007D06C4" w:rsidRPr="00584FDC" w:rsidRDefault="00F41810" w:rsidP="007D06C4">
      <w:pPr>
        <w:pStyle w:val="ListParagraph"/>
        <w:numPr>
          <w:ilvl w:val="0"/>
          <w:numId w:val="10"/>
        </w:numPr>
        <w:ind w:left="1350"/>
        <w:rPr>
          <w:rStyle w:val="Hyperlink"/>
          <w:rFonts w:asciiTheme="minorHAnsi" w:hAnsiTheme="minorHAnsi"/>
          <w:sz w:val="16"/>
          <w:szCs w:val="16"/>
        </w:rPr>
      </w:pPr>
      <w:hyperlink r:id="rId54" w:tooltip="medlineplus.gov" w:history="1">
        <w:r w:rsidR="007D06C4" w:rsidRPr="00584FDC">
          <w:rPr>
            <w:rStyle w:val="Hyperlink"/>
            <w:rFonts w:asciiTheme="minorHAnsi" w:hAnsiTheme="minorHAnsi"/>
            <w:sz w:val="16"/>
            <w:szCs w:val="16"/>
          </w:rPr>
          <w:t>https://medlineplus.gov/news/fullstory_160986.html</w:t>
        </w:r>
      </w:hyperlink>
    </w:p>
    <w:p w:rsidR="00B942F9" w:rsidRPr="00584FDC" w:rsidRDefault="00B942F9" w:rsidP="00B942F9">
      <w:pPr>
        <w:pStyle w:val="Heading2"/>
        <w:rPr>
          <w:sz w:val="16"/>
          <w:szCs w:val="16"/>
        </w:rPr>
      </w:pPr>
      <w:bookmarkStart w:id="110" w:name="_Toc462066452"/>
      <w:bookmarkStart w:id="111" w:name="_Toc462233264"/>
      <w:r w:rsidRPr="00584FDC">
        <w:rPr>
          <w:sz w:val="16"/>
          <w:szCs w:val="16"/>
        </w:rPr>
        <w:t>Teva Says Hoping to Launch EpiPen-Like Device by 2018 in U.S.</w:t>
      </w:r>
      <w:bookmarkEnd w:id="110"/>
      <w:bookmarkEnd w:id="111"/>
    </w:p>
    <w:p w:rsidR="00B942F9" w:rsidRPr="00584FDC" w:rsidRDefault="00F41810" w:rsidP="00B942F9">
      <w:pPr>
        <w:pStyle w:val="ListParagraph"/>
        <w:numPr>
          <w:ilvl w:val="0"/>
          <w:numId w:val="10"/>
        </w:numPr>
        <w:ind w:left="1350"/>
        <w:rPr>
          <w:rStyle w:val="Hyperlink"/>
          <w:rFonts w:asciiTheme="minorHAnsi" w:hAnsiTheme="minorHAnsi"/>
          <w:sz w:val="16"/>
          <w:szCs w:val="16"/>
        </w:rPr>
      </w:pPr>
      <w:hyperlink r:id="rId55" w:tooltip="managedhealthcareconnect.com" w:history="1">
        <w:r w:rsidR="00B942F9" w:rsidRPr="00584FDC">
          <w:rPr>
            <w:rStyle w:val="Hyperlink"/>
            <w:rFonts w:asciiTheme="minorHAnsi" w:hAnsiTheme="minorHAnsi"/>
            <w:sz w:val="16"/>
            <w:szCs w:val="16"/>
          </w:rPr>
          <w:t>http://www.managedhealthcareconnect.com/content/teva-says-hoping-launch-epipen-device-2018-us</w:t>
        </w:r>
      </w:hyperlink>
    </w:p>
    <w:p w:rsidR="00B942F9" w:rsidRDefault="00B942F9" w:rsidP="00B942F9">
      <w:pPr>
        <w:pStyle w:val="Heading1"/>
        <w:rPr>
          <w:rFonts w:asciiTheme="minorHAnsi" w:hAnsiTheme="minorHAnsi"/>
          <w:sz w:val="16"/>
          <w:szCs w:val="16"/>
        </w:rPr>
      </w:pPr>
      <w:bookmarkStart w:id="112" w:name="_Toc462233265"/>
      <w:r w:rsidRPr="00B942F9">
        <w:rPr>
          <w:rFonts w:asciiTheme="minorHAnsi" w:hAnsiTheme="minorHAnsi"/>
          <w:sz w:val="16"/>
          <w:szCs w:val="16"/>
        </w:rPr>
        <w:t>TOOLS AND RESOURCES</w:t>
      </w:r>
      <w:bookmarkEnd w:id="112"/>
    </w:p>
    <w:p w:rsidR="00B942F9" w:rsidRPr="00584FDC" w:rsidRDefault="00B942F9" w:rsidP="00B942F9">
      <w:pPr>
        <w:pStyle w:val="Heading2"/>
        <w:rPr>
          <w:sz w:val="16"/>
          <w:szCs w:val="16"/>
        </w:rPr>
      </w:pPr>
      <w:bookmarkStart w:id="113" w:name="_Toc462233266"/>
      <w:r w:rsidRPr="00584FDC">
        <w:rPr>
          <w:sz w:val="16"/>
          <w:szCs w:val="16"/>
        </w:rPr>
        <w:t>CDC: Tools and Materials for Your Office</w:t>
      </w:r>
      <w:bookmarkEnd w:id="113"/>
    </w:p>
    <w:p w:rsidR="00B942F9" w:rsidRPr="00584FDC" w:rsidRDefault="00F41810" w:rsidP="00B942F9">
      <w:pPr>
        <w:pStyle w:val="ListParagraph"/>
        <w:numPr>
          <w:ilvl w:val="0"/>
          <w:numId w:val="8"/>
        </w:numPr>
        <w:ind w:left="1350"/>
        <w:rPr>
          <w:rStyle w:val="Hyperlink"/>
          <w:rFonts w:asciiTheme="minorHAnsi" w:hAnsiTheme="minorHAnsi" w:cs="Arial"/>
          <w:sz w:val="16"/>
          <w:szCs w:val="16"/>
        </w:rPr>
      </w:pPr>
      <w:hyperlink r:id="rId56" w:tooltip="cdc.gov" w:history="1">
        <w:r w:rsidR="00B942F9" w:rsidRPr="00584FDC">
          <w:rPr>
            <w:rStyle w:val="Hyperlink"/>
            <w:rFonts w:asciiTheme="minorHAnsi" w:hAnsiTheme="minorHAnsi" w:cs="Arial"/>
            <w:sz w:val="16"/>
            <w:szCs w:val="16"/>
          </w:rPr>
          <w:t>http://www.cdc.gov/hpv/hcp/tools-materials.html</w:t>
        </w:r>
      </w:hyperlink>
    </w:p>
    <w:sectPr w:rsidR="00B942F9" w:rsidRPr="00584FDC" w:rsidSect="002B453E">
      <w:type w:val="continuous"/>
      <w:pgSz w:w="12240" w:h="15840"/>
      <w:pgMar w:top="720" w:right="1296" w:bottom="720" w:left="864"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810" w:rsidRDefault="00F41810" w:rsidP="00C342DA">
      <w:pPr>
        <w:spacing w:after="0" w:line="240" w:lineRule="auto"/>
      </w:pPr>
      <w:r>
        <w:separator/>
      </w:r>
    </w:p>
  </w:endnote>
  <w:endnote w:type="continuationSeparator" w:id="0">
    <w:p w:rsidR="00F41810" w:rsidRDefault="00F41810"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63235"/>
      <w:docPartObj>
        <w:docPartGallery w:val="Page Numbers (Bottom of Page)"/>
        <w:docPartUnique/>
      </w:docPartObj>
    </w:sdtPr>
    <w:sdtEndPr>
      <w:rPr>
        <w:noProof/>
      </w:rPr>
    </w:sdtEndPr>
    <w:sdtContent>
      <w:p w:rsidR="007D06C4" w:rsidRDefault="007D06C4">
        <w:pPr>
          <w:pStyle w:val="Footer"/>
          <w:jc w:val="right"/>
        </w:pPr>
        <w:r>
          <w:fldChar w:fldCharType="begin"/>
        </w:r>
        <w:r>
          <w:instrText xml:space="preserve"> PAGE   \* MERGEFORMAT </w:instrText>
        </w:r>
        <w:r>
          <w:fldChar w:fldCharType="separate"/>
        </w:r>
        <w:r w:rsidR="009B75C1">
          <w:rPr>
            <w:noProof/>
          </w:rPr>
          <w:t>3</w:t>
        </w:r>
        <w:r>
          <w:rPr>
            <w:noProof/>
          </w:rPr>
          <w:fldChar w:fldCharType="end"/>
        </w:r>
      </w:p>
    </w:sdtContent>
  </w:sdt>
  <w:p w:rsidR="007D06C4" w:rsidRDefault="007D06C4" w:rsidP="00582E33">
    <w:pPr>
      <w:pStyle w:val="Footer"/>
    </w:pPr>
    <w:r>
      <w:t>September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810" w:rsidRDefault="00F41810" w:rsidP="00C342DA">
      <w:pPr>
        <w:spacing w:after="0" w:line="240" w:lineRule="auto"/>
      </w:pPr>
      <w:r>
        <w:separator/>
      </w:r>
    </w:p>
  </w:footnote>
  <w:footnote w:type="continuationSeparator" w:id="0">
    <w:p w:rsidR="00F41810" w:rsidRDefault="00F41810" w:rsidP="00C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594E32"/>
    <w:multiLevelType w:val="hybridMultilevel"/>
    <w:tmpl w:val="FAC4FA2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15AB0136"/>
    <w:multiLevelType w:val="hybridMultilevel"/>
    <w:tmpl w:val="840062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EE7545"/>
    <w:multiLevelType w:val="hybridMultilevel"/>
    <w:tmpl w:val="52168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B5ACE"/>
    <w:multiLevelType w:val="hybridMultilevel"/>
    <w:tmpl w:val="8EA0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F94C0C"/>
    <w:multiLevelType w:val="hybridMultilevel"/>
    <w:tmpl w:val="9DB82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D5075"/>
    <w:multiLevelType w:val="hybridMultilevel"/>
    <w:tmpl w:val="84EA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C358A"/>
    <w:multiLevelType w:val="hybridMultilevel"/>
    <w:tmpl w:val="26BC6C94"/>
    <w:lvl w:ilvl="0" w:tplc="EA14BBCE">
      <w:start w:val="1"/>
      <w:numFmt w:val="bullet"/>
      <w:pStyle w:val="Heading2"/>
      <w:lvlText w:val=""/>
      <w:lvlJc w:val="left"/>
      <w:pPr>
        <w:ind w:left="17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7"/>
  </w:num>
  <w:num w:numId="7">
    <w:abstractNumId w:val="5"/>
  </w:num>
  <w:num w:numId="8">
    <w:abstractNumId w:val="6"/>
  </w:num>
  <w:num w:numId="9">
    <w:abstractNumId w:val="3"/>
  </w:num>
  <w:num w:numId="10">
    <w:abstractNumId w:val="4"/>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368E0"/>
    <w:rsid w:val="00037DCE"/>
    <w:rsid w:val="00042349"/>
    <w:rsid w:val="00050B8F"/>
    <w:rsid w:val="00053088"/>
    <w:rsid w:val="00055639"/>
    <w:rsid w:val="0006567B"/>
    <w:rsid w:val="00066AA7"/>
    <w:rsid w:val="000745CF"/>
    <w:rsid w:val="00090B37"/>
    <w:rsid w:val="00091AD9"/>
    <w:rsid w:val="000B1AA7"/>
    <w:rsid w:val="000D0BB0"/>
    <w:rsid w:val="000D3A45"/>
    <w:rsid w:val="000E14B2"/>
    <w:rsid w:val="001125CB"/>
    <w:rsid w:val="001209FF"/>
    <w:rsid w:val="00130C50"/>
    <w:rsid w:val="00140D9D"/>
    <w:rsid w:val="00147A5E"/>
    <w:rsid w:val="00155D74"/>
    <w:rsid w:val="00157459"/>
    <w:rsid w:val="00157A61"/>
    <w:rsid w:val="00164E9E"/>
    <w:rsid w:val="001847DF"/>
    <w:rsid w:val="001A2F7E"/>
    <w:rsid w:val="001C0FB6"/>
    <w:rsid w:val="001F3820"/>
    <w:rsid w:val="002076DE"/>
    <w:rsid w:val="00214CBB"/>
    <w:rsid w:val="0022424D"/>
    <w:rsid w:val="00234179"/>
    <w:rsid w:val="0024309C"/>
    <w:rsid w:val="00246EEA"/>
    <w:rsid w:val="002503B3"/>
    <w:rsid w:val="00260537"/>
    <w:rsid w:val="00270E01"/>
    <w:rsid w:val="00282E13"/>
    <w:rsid w:val="002B453E"/>
    <w:rsid w:val="002D7172"/>
    <w:rsid w:val="002E33E8"/>
    <w:rsid w:val="00300619"/>
    <w:rsid w:val="00303951"/>
    <w:rsid w:val="003240EA"/>
    <w:rsid w:val="00330227"/>
    <w:rsid w:val="003364B5"/>
    <w:rsid w:val="00362859"/>
    <w:rsid w:val="00364212"/>
    <w:rsid w:val="00395EE8"/>
    <w:rsid w:val="00396DC9"/>
    <w:rsid w:val="003A4EA4"/>
    <w:rsid w:val="003B4D00"/>
    <w:rsid w:val="003C75F0"/>
    <w:rsid w:val="003D0F1C"/>
    <w:rsid w:val="00453889"/>
    <w:rsid w:val="00470B98"/>
    <w:rsid w:val="004831BB"/>
    <w:rsid w:val="004A5A74"/>
    <w:rsid w:val="004B0CEA"/>
    <w:rsid w:val="004B2227"/>
    <w:rsid w:val="005037E0"/>
    <w:rsid w:val="00510B4A"/>
    <w:rsid w:val="0053562A"/>
    <w:rsid w:val="00544D94"/>
    <w:rsid w:val="00546887"/>
    <w:rsid w:val="00571A44"/>
    <w:rsid w:val="00574D0C"/>
    <w:rsid w:val="005761D3"/>
    <w:rsid w:val="00582E33"/>
    <w:rsid w:val="00584FDC"/>
    <w:rsid w:val="00586171"/>
    <w:rsid w:val="005961F5"/>
    <w:rsid w:val="005E180B"/>
    <w:rsid w:val="005F5055"/>
    <w:rsid w:val="006004B5"/>
    <w:rsid w:val="0060227C"/>
    <w:rsid w:val="00605AD7"/>
    <w:rsid w:val="00606F22"/>
    <w:rsid w:val="0064705D"/>
    <w:rsid w:val="00653ED2"/>
    <w:rsid w:val="006633F1"/>
    <w:rsid w:val="006709EA"/>
    <w:rsid w:val="00673497"/>
    <w:rsid w:val="00694A40"/>
    <w:rsid w:val="00695EE9"/>
    <w:rsid w:val="006B587A"/>
    <w:rsid w:val="006D2A14"/>
    <w:rsid w:val="006E6794"/>
    <w:rsid w:val="00700C8D"/>
    <w:rsid w:val="007136CD"/>
    <w:rsid w:val="00727A04"/>
    <w:rsid w:val="00764B02"/>
    <w:rsid w:val="0076773D"/>
    <w:rsid w:val="00781044"/>
    <w:rsid w:val="0078130C"/>
    <w:rsid w:val="007A3939"/>
    <w:rsid w:val="007A39C7"/>
    <w:rsid w:val="007A5464"/>
    <w:rsid w:val="007D0342"/>
    <w:rsid w:val="007D06C4"/>
    <w:rsid w:val="007E20DF"/>
    <w:rsid w:val="00810F35"/>
    <w:rsid w:val="00825F5A"/>
    <w:rsid w:val="00830BE1"/>
    <w:rsid w:val="00880604"/>
    <w:rsid w:val="00891393"/>
    <w:rsid w:val="008C57F5"/>
    <w:rsid w:val="008F391E"/>
    <w:rsid w:val="008F59D9"/>
    <w:rsid w:val="00954218"/>
    <w:rsid w:val="00981750"/>
    <w:rsid w:val="009A0491"/>
    <w:rsid w:val="009B75C1"/>
    <w:rsid w:val="009D14CF"/>
    <w:rsid w:val="009D1728"/>
    <w:rsid w:val="009E2B86"/>
    <w:rsid w:val="009F7BA2"/>
    <w:rsid w:val="00A355A5"/>
    <w:rsid w:val="00A435D3"/>
    <w:rsid w:val="00A51C8B"/>
    <w:rsid w:val="00A53106"/>
    <w:rsid w:val="00A7337A"/>
    <w:rsid w:val="00AA0FB5"/>
    <w:rsid w:val="00AE584D"/>
    <w:rsid w:val="00B0031E"/>
    <w:rsid w:val="00B16F2A"/>
    <w:rsid w:val="00B348B9"/>
    <w:rsid w:val="00B66207"/>
    <w:rsid w:val="00B942F9"/>
    <w:rsid w:val="00BA4EDA"/>
    <w:rsid w:val="00BB36C1"/>
    <w:rsid w:val="00BC0359"/>
    <w:rsid w:val="00BC3F83"/>
    <w:rsid w:val="00C079F8"/>
    <w:rsid w:val="00C23D41"/>
    <w:rsid w:val="00C2562A"/>
    <w:rsid w:val="00C342DA"/>
    <w:rsid w:val="00C56B3D"/>
    <w:rsid w:val="00C63B6C"/>
    <w:rsid w:val="00C77D0D"/>
    <w:rsid w:val="00C8701E"/>
    <w:rsid w:val="00C87D4C"/>
    <w:rsid w:val="00C908CB"/>
    <w:rsid w:val="00D023A4"/>
    <w:rsid w:val="00D53E3E"/>
    <w:rsid w:val="00D6213D"/>
    <w:rsid w:val="00D93F7C"/>
    <w:rsid w:val="00DA7E0E"/>
    <w:rsid w:val="00DD3AA4"/>
    <w:rsid w:val="00DD68EA"/>
    <w:rsid w:val="00E21337"/>
    <w:rsid w:val="00E21FF3"/>
    <w:rsid w:val="00E23D7D"/>
    <w:rsid w:val="00E2614E"/>
    <w:rsid w:val="00E302F9"/>
    <w:rsid w:val="00E30D9A"/>
    <w:rsid w:val="00E55421"/>
    <w:rsid w:val="00E7555C"/>
    <w:rsid w:val="00E7763D"/>
    <w:rsid w:val="00EA61F5"/>
    <w:rsid w:val="00EC5FDF"/>
    <w:rsid w:val="00F1458B"/>
    <w:rsid w:val="00F32D93"/>
    <w:rsid w:val="00F41810"/>
    <w:rsid w:val="00F42566"/>
    <w:rsid w:val="00F428D4"/>
    <w:rsid w:val="00F622A7"/>
    <w:rsid w:val="00F85E82"/>
    <w:rsid w:val="00F95E60"/>
    <w:rsid w:val="00F95E70"/>
    <w:rsid w:val="00FD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EA"/>
    <w:pPr>
      <w:keepNext/>
      <w:spacing w:before="240" w:after="0" w:line="240" w:lineRule="auto"/>
      <w:outlineLvl w:val="0"/>
    </w:pPr>
    <w:rPr>
      <w:rFonts w:cs="Times New Roman"/>
      <w:b/>
      <w:kern w:val="36"/>
      <w:sz w:val="32"/>
      <w:szCs w:val="32"/>
    </w:rPr>
  </w:style>
  <w:style w:type="paragraph" w:styleId="Heading2">
    <w:name w:val="heading 2"/>
    <w:basedOn w:val="Normal"/>
    <w:link w:val="Heading2Char"/>
    <w:uiPriority w:val="9"/>
    <w:unhideWhenUsed/>
    <w:qFormat/>
    <w:rsid w:val="00470B98"/>
    <w:pPr>
      <w:keepNext/>
      <w:numPr>
        <w:numId w:val="2"/>
      </w:numPr>
      <w:spacing w:before="40" w:after="0" w:line="240" w:lineRule="auto"/>
      <w:ind w:left="1080"/>
      <w:outlineLvl w:val="1"/>
    </w:pPr>
    <w:rPr>
      <w:rFonts w:asciiTheme="minorHAnsi" w:hAnsiTheme="minorHAnsi" w:cs="Times New Roman"/>
      <w:b/>
      <w:sz w:val="18"/>
      <w:szCs w:val="26"/>
    </w:rPr>
  </w:style>
  <w:style w:type="paragraph" w:styleId="Heading3">
    <w:name w:val="heading 3"/>
    <w:basedOn w:val="Normal"/>
    <w:link w:val="Heading3Char"/>
    <w:uiPriority w:val="9"/>
    <w:unhideWhenUsed/>
    <w:qFormat/>
    <w:rsid w:val="00DD68EA"/>
    <w:pPr>
      <w:keepNext/>
      <w:tabs>
        <w:tab w:val="left" w:pos="1008"/>
      </w:tabs>
      <w:spacing w:before="40" w:after="0" w:line="240" w:lineRule="auto"/>
      <w:outlineLvl w:val="2"/>
    </w:pPr>
    <w:rPr>
      <w:rFonts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EA"/>
    <w:rPr>
      <w:rFonts w:cs="Times New Roman"/>
      <w:b/>
      <w:kern w:val="36"/>
      <w:sz w:val="32"/>
      <w:szCs w:val="32"/>
    </w:rPr>
  </w:style>
  <w:style w:type="character" w:customStyle="1" w:styleId="Heading2Char">
    <w:name w:val="Heading 2 Char"/>
    <w:basedOn w:val="DefaultParagraphFont"/>
    <w:link w:val="Heading2"/>
    <w:uiPriority w:val="9"/>
    <w:rsid w:val="00470B98"/>
    <w:rPr>
      <w:rFonts w:asciiTheme="minorHAnsi" w:hAnsiTheme="minorHAnsi" w:cs="Times New Roman"/>
      <w:b/>
      <w:sz w:val="18"/>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DD68EA"/>
    <w:rPr>
      <w:rFonts w:cs="Times New Roman"/>
      <w:color w:val="1F4D78"/>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B942F9"/>
    <w:pPr>
      <w:spacing w:after="100"/>
    </w:pPr>
    <w:rPr>
      <w:rFonts w:ascii="Calibri" w:hAnsi="Calibri"/>
      <w:sz w:val="16"/>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B942F9"/>
    <w:pPr>
      <w:tabs>
        <w:tab w:val="left" w:pos="1080"/>
        <w:tab w:val="right" w:leader="dot" w:pos="10070"/>
      </w:tabs>
      <w:spacing w:after="100"/>
      <w:ind w:left="1080" w:hanging="360"/>
    </w:pPr>
    <w:rPr>
      <w:rFonts w:ascii="Calibri" w:eastAsiaTheme="minorEastAsia" w:hAnsi="Calibri"/>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B942F9"/>
    <w:rPr>
      <w:rFonts w:ascii="Calibri" w:hAnsi="Calibri"/>
      <w:sz w:val="16"/>
    </w:rPr>
  </w:style>
  <w:style w:type="paragraph" w:styleId="ListBullet">
    <w:name w:val="List Bullet"/>
    <w:basedOn w:val="Normal"/>
    <w:uiPriority w:val="99"/>
    <w:semiHidden/>
    <w:unhideWhenUsed/>
    <w:rsid w:val="00053088"/>
    <w:pPr>
      <w:numPr>
        <w:numId w:val="4"/>
      </w:numPr>
      <w:contextualSpacing/>
    </w:pPr>
  </w:style>
  <w:style w:type="paragraph" w:styleId="ListBullet2">
    <w:name w:val="List Bullet 2"/>
    <w:basedOn w:val="Normal"/>
    <w:uiPriority w:val="99"/>
    <w:semiHidden/>
    <w:unhideWhenUsed/>
    <w:rsid w:val="00053088"/>
    <w:pPr>
      <w:numPr>
        <w:numId w:val="5"/>
      </w:numPr>
      <w:contextualSpacing/>
    </w:pPr>
  </w:style>
  <w:style w:type="character" w:customStyle="1" w:styleId="TOC2Char">
    <w:name w:val="TOC 2 Char"/>
    <w:basedOn w:val="DefaultParagraphFont"/>
    <w:link w:val="TOC2"/>
    <w:uiPriority w:val="39"/>
    <w:rsid w:val="00B942F9"/>
    <w:rPr>
      <w:rFonts w:ascii="Calibri" w:eastAsiaTheme="minorEastAsia" w:hAnsi="Calibri"/>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EA"/>
    <w:pPr>
      <w:keepNext/>
      <w:spacing w:before="240" w:after="0" w:line="240" w:lineRule="auto"/>
      <w:outlineLvl w:val="0"/>
    </w:pPr>
    <w:rPr>
      <w:rFonts w:cs="Times New Roman"/>
      <w:b/>
      <w:kern w:val="36"/>
      <w:sz w:val="32"/>
      <w:szCs w:val="32"/>
    </w:rPr>
  </w:style>
  <w:style w:type="paragraph" w:styleId="Heading2">
    <w:name w:val="heading 2"/>
    <w:basedOn w:val="Normal"/>
    <w:link w:val="Heading2Char"/>
    <w:uiPriority w:val="9"/>
    <w:unhideWhenUsed/>
    <w:qFormat/>
    <w:rsid w:val="00470B98"/>
    <w:pPr>
      <w:keepNext/>
      <w:numPr>
        <w:numId w:val="2"/>
      </w:numPr>
      <w:spacing w:before="40" w:after="0" w:line="240" w:lineRule="auto"/>
      <w:ind w:left="1080"/>
      <w:outlineLvl w:val="1"/>
    </w:pPr>
    <w:rPr>
      <w:rFonts w:asciiTheme="minorHAnsi" w:hAnsiTheme="minorHAnsi" w:cs="Times New Roman"/>
      <w:b/>
      <w:sz w:val="18"/>
      <w:szCs w:val="26"/>
    </w:rPr>
  </w:style>
  <w:style w:type="paragraph" w:styleId="Heading3">
    <w:name w:val="heading 3"/>
    <w:basedOn w:val="Normal"/>
    <w:link w:val="Heading3Char"/>
    <w:uiPriority w:val="9"/>
    <w:unhideWhenUsed/>
    <w:qFormat/>
    <w:rsid w:val="00DD68EA"/>
    <w:pPr>
      <w:keepNext/>
      <w:tabs>
        <w:tab w:val="left" w:pos="1008"/>
      </w:tabs>
      <w:spacing w:before="40" w:after="0" w:line="240" w:lineRule="auto"/>
      <w:outlineLvl w:val="2"/>
    </w:pPr>
    <w:rPr>
      <w:rFonts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EA"/>
    <w:rPr>
      <w:rFonts w:cs="Times New Roman"/>
      <w:b/>
      <w:kern w:val="36"/>
      <w:sz w:val="32"/>
      <w:szCs w:val="32"/>
    </w:rPr>
  </w:style>
  <w:style w:type="character" w:customStyle="1" w:styleId="Heading2Char">
    <w:name w:val="Heading 2 Char"/>
    <w:basedOn w:val="DefaultParagraphFont"/>
    <w:link w:val="Heading2"/>
    <w:uiPriority w:val="9"/>
    <w:rsid w:val="00470B98"/>
    <w:rPr>
      <w:rFonts w:asciiTheme="minorHAnsi" w:hAnsiTheme="minorHAnsi" w:cs="Times New Roman"/>
      <w:b/>
      <w:sz w:val="18"/>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DD68EA"/>
    <w:rPr>
      <w:rFonts w:cs="Times New Roman"/>
      <w:color w:val="1F4D78"/>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B942F9"/>
    <w:pPr>
      <w:spacing w:after="100"/>
    </w:pPr>
    <w:rPr>
      <w:rFonts w:ascii="Calibri" w:hAnsi="Calibri"/>
      <w:sz w:val="16"/>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B942F9"/>
    <w:pPr>
      <w:tabs>
        <w:tab w:val="left" w:pos="1080"/>
        <w:tab w:val="right" w:leader="dot" w:pos="10070"/>
      </w:tabs>
      <w:spacing w:after="100"/>
      <w:ind w:left="1080" w:hanging="360"/>
    </w:pPr>
    <w:rPr>
      <w:rFonts w:ascii="Calibri" w:eastAsiaTheme="minorEastAsia" w:hAnsi="Calibri"/>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B942F9"/>
    <w:rPr>
      <w:rFonts w:ascii="Calibri" w:hAnsi="Calibri"/>
      <w:sz w:val="16"/>
    </w:rPr>
  </w:style>
  <w:style w:type="paragraph" w:styleId="ListBullet">
    <w:name w:val="List Bullet"/>
    <w:basedOn w:val="Normal"/>
    <w:uiPriority w:val="99"/>
    <w:semiHidden/>
    <w:unhideWhenUsed/>
    <w:rsid w:val="00053088"/>
    <w:pPr>
      <w:numPr>
        <w:numId w:val="4"/>
      </w:numPr>
      <w:contextualSpacing/>
    </w:pPr>
  </w:style>
  <w:style w:type="paragraph" w:styleId="ListBullet2">
    <w:name w:val="List Bullet 2"/>
    <w:basedOn w:val="Normal"/>
    <w:uiPriority w:val="99"/>
    <w:semiHidden/>
    <w:unhideWhenUsed/>
    <w:rsid w:val="00053088"/>
    <w:pPr>
      <w:numPr>
        <w:numId w:val="5"/>
      </w:numPr>
      <w:contextualSpacing/>
    </w:pPr>
  </w:style>
  <w:style w:type="character" w:customStyle="1" w:styleId="TOC2Char">
    <w:name w:val="TOC 2 Char"/>
    <w:basedOn w:val="DefaultParagraphFont"/>
    <w:link w:val="TOC2"/>
    <w:uiPriority w:val="39"/>
    <w:rsid w:val="00B942F9"/>
    <w:rPr>
      <w:rFonts w:ascii="Calibri" w:eastAsiaTheme="minorEastAsia" w:hAnsi="Calibri"/>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732">
      <w:bodyDiv w:val="1"/>
      <w:marLeft w:val="0"/>
      <w:marRight w:val="0"/>
      <w:marTop w:val="0"/>
      <w:marBottom w:val="0"/>
      <w:divBdr>
        <w:top w:val="none" w:sz="0" w:space="0" w:color="auto"/>
        <w:left w:val="none" w:sz="0" w:space="0" w:color="auto"/>
        <w:bottom w:val="none" w:sz="0" w:space="0" w:color="auto"/>
        <w:right w:val="none" w:sz="0" w:space="0" w:color="auto"/>
      </w:divBdr>
    </w:div>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47148864">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99881987">
      <w:bodyDiv w:val="1"/>
      <w:marLeft w:val="0"/>
      <w:marRight w:val="0"/>
      <w:marTop w:val="0"/>
      <w:marBottom w:val="0"/>
      <w:divBdr>
        <w:top w:val="none" w:sz="0" w:space="0" w:color="auto"/>
        <w:left w:val="none" w:sz="0" w:space="0" w:color="auto"/>
        <w:bottom w:val="none" w:sz="0" w:space="0" w:color="auto"/>
        <w:right w:val="none" w:sz="0" w:space="0" w:color="auto"/>
      </w:divBdr>
    </w:div>
    <w:div w:id="109672254">
      <w:bodyDiv w:val="1"/>
      <w:marLeft w:val="0"/>
      <w:marRight w:val="0"/>
      <w:marTop w:val="0"/>
      <w:marBottom w:val="0"/>
      <w:divBdr>
        <w:top w:val="none" w:sz="0" w:space="0" w:color="auto"/>
        <w:left w:val="none" w:sz="0" w:space="0" w:color="auto"/>
        <w:bottom w:val="none" w:sz="0" w:space="0" w:color="auto"/>
        <w:right w:val="none" w:sz="0" w:space="0" w:color="auto"/>
      </w:divBdr>
    </w:div>
    <w:div w:id="144011902">
      <w:bodyDiv w:val="1"/>
      <w:marLeft w:val="0"/>
      <w:marRight w:val="0"/>
      <w:marTop w:val="0"/>
      <w:marBottom w:val="0"/>
      <w:divBdr>
        <w:top w:val="none" w:sz="0" w:space="0" w:color="auto"/>
        <w:left w:val="none" w:sz="0" w:space="0" w:color="auto"/>
        <w:bottom w:val="none" w:sz="0" w:space="0" w:color="auto"/>
        <w:right w:val="none" w:sz="0" w:space="0" w:color="auto"/>
      </w:divBdr>
    </w:div>
    <w:div w:id="157693546">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32325617">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6248360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375013335">
      <w:bodyDiv w:val="1"/>
      <w:marLeft w:val="0"/>
      <w:marRight w:val="0"/>
      <w:marTop w:val="0"/>
      <w:marBottom w:val="0"/>
      <w:divBdr>
        <w:top w:val="none" w:sz="0" w:space="0" w:color="auto"/>
        <w:left w:val="none" w:sz="0" w:space="0" w:color="auto"/>
        <w:bottom w:val="none" w:sz="0" w:space="0" w:color="auto"/>
        <w:right w:val="none" w:sz="0" w:space="0" w:color="auto"/>
      </w:divBdr>
    </w:div>
    <w:div w:id="398942258">
      <w:bodyDiv w:val="1"/>
      <w:marLeft w:val="0"/>
      <w:marRight w:val="0"/>
      <w:marTop w:val="0"/>
      <w:marBottom w:val="0"/>
      <w:divBdr>
        <w:top w:val="none" w:sz="0" w:space="0" w:color="auto"/>
        <w:left w:val="none" w:sz="0" w:space="0" w:color="auto"/>
        <w:bottom w:val="none" w:sz="0" w:space="0" w:color="auto"/>
        <w:right w:val="none" w:sz="0" w:space="0" w:color="auto"/>
      </w:divBdr>
    </w:div>
    <w:div w:id="399402320">
      <w:bodyDiv w:val="1"/>
      <w:marLeft w:val="0"/>
      <w:marRight w:val="0"/>
      <w:marTop w:val="0"/>
      <w:marBottom w:val="0"/>
      <w:divBdr>
        <w:top w:val="none" w:sz="0" w:space="0" w:color="auto"/>
        <w:left w:val="none" w:sz="0" w:space="0" w:color="auto"/>
        <w:bottom w:val="none" w:sz="0" w:space="0" w:color="auto"/>
        <w:right w:val="none" w:sz="0" w:space="0" w:color="auto"/>
      </w:divBdr>
    </w:div>
    <w:div w:id="456874527">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587464707">
      <w:bodyDiv w:val="1"/>
      <w:marLeft w:val="0"/>
      <w:marRight w:val="0"/>
      <w:marTop w:val="0"/>
      <w:marBottom w:val="0"/>
      <w:divBdr>
        <w:top w:val="none" w:sz="0" w:space="0" w:color="auto"/>
        <w:left w:val="none" w:sz="0" w:space="0" w:color="auto"/>
        <w:bottom w:val="none" w:sz="0" w:space="0" w:color="auto"/>
        <w:right w:val="none" w:sz="0" w:space="0" w:color="auto"/>
      </w:divBdr>
    </w:div>
    <w:div w:id="684215297">
      <w:bodyDiv w:val="1"/>
      <w:marLeft w:val="0"/>
      <w:marRight w:val="0"/>
      <w:marTop w:val="0"/>
      <w:marBottom w:val="0"/>
      <w:divBdr>
        <w:top w:val="none" w:sz="0" w:space="0" w:color="auto"/>
        <w:left w:val="none" w:sz="0" w:space="0" w:color="auto"/>
        <w:bottom w:val="none" w:sz="0" w:space="0" w:color="auto"/>
        <w:right w:val="none" w:sz="0" w:space="0" w:color="auto"/>
      </w:divBdr>
    </w:div>
    <w:div w:id="712383107">
      <w:bodyDiv w:val="1"/>
      <w:marLeft w:val="0"/>
      <w:marRight w:val="0"/>
      <w:marTop w:val="0"/>
      <w:marBottom w:val="0"/>
      <w:divBdr>
        <w:top w:val="none" w:sz="0" w:space="0" w:color="auto"/>
        <w:left w:val="none" w:sz="0" w:space="0" w:color="auto"/>
        <w:bottom w:val="none" w:sz="0" w:space="0" w:color="auto"/>
        <w:right w:val="none" w:sz="0" w:space="0" w:color="auto"/>
      </w:divBdr>
    </w:div>
    <w:div w:id="739135925">
      <w:bodyDiv w:val="1"/>
      <w:marLeft w:val="0"/>
      <w:marRight w:val="0"/>
      <w:marTop w:val="0"/>
      <w:marBottom w:val="0"/>
      <w:divBdr>
        <w:top w:val="none" w:sz="0" w:space="0" w:color="auto"/>
        <w:left w:val="none" w:sz="0" w:space="0" w:color="auto"/>
        <w:bottom w:val="none" w:sz="0" w:space="0" w:color="auto"/>
        <w:right w:val="none" w:sz="0" w:space="0" w:color="auto"/>
      </w:divBdr>
    </w:div>
    <w:div w:id="754205309">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83639496">
      <w:bodyDiv w:val="1"/>
      <w:marLeft w:val="0"/>
      <w:marRight w:val="0"/>
      <w:marTop w:val="0"/>
      <w:marBottom w:val="0"/>
      <w:divBdr>
        <w:top w:val="none" w:sz="0" w:space="0" w:color="auto"/>
        <w:left w:val="none" w:sz="0" w:space="0" w:color="auto"/>
        <w:bottom w:val="none" w:sz="0" w:space="0" w:color="auto"/>
        <w:right w:val="none" w:sz="0" w:space="0" w:color="auto"/>
      </w:divBdr>
    </w:div>
    <w:div w:id="964627837">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0939801">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111826929">
      <w:bodyDiv w:val="1"/>
      <w:marLeft w:val="0"/>
      <w:marRight w:val="0"/>
      <w:marTop w:val="0"/>
      <w:marBottom w:val="0"/>
      <w:divBdr>
        <w:top w:val="none" w:sz="0" w:space="0" w:color="auto"/>
        <w:left w:val="none" w:sz="0" w:space="0" w:color="auto"/>
        <w:bottom w:val="none" w:sz="0" w:space="0" w:color="auto"/>
        <w:right w:val="none" w:sz="0" w:space="0" w:color="auto"/>
      </w:divBdr>
    </w:div>
    <w:div w:id="1182010154">
      <w:bodyDiv w:val="1"/>
      <w:marLeft w:val="0"/>
      <w:marRight w:val="0"/>
      <w:marTop w:val="0"/>
      <w:marBottom w:val="0"/>
      <w:divBdr>
        <w:top w:val="none" w:sz="0" w:space="0" w:color="auto"/>
        <w:left w:val="none" w:sz="0" w:space="0" w:color="auto"/>
        <w:bottom w:val="none" w:sz="0" w:space="0" w:color="auto"/>
        <w:right w:val="none" w:sz="0" w:space="0" w:color="auto"/>
      </w:divBdr>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249340187">
      <w:bodyDiv w:val="1"/>
      <w:marLeft w:val="0"/>
      <w:marRight w:val="0"/>
      <w:marTop w:val="0"/>
      <w:marBottom w:val="0"/>
      <w:divBdr>
        <w:top w:val="none" w:sz="0" w:space="0" w:color="auto"/>
        <w:left w:val="none" w:sz="0" w:space="0" w:color="auto"/>
        <w:bottom w:val="none" w:sz="0" w:space="0" w:color="auto"/>
        <w:right w:val="none" w:sz="0" w:space="0" w:color="auto"/>
      </w:divBdr>
    </w:div>
    <w:div w:id="1280455171">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481310518">
      <w:bodyDiv w:val="1"/>
      <w:marLeft w:val="0"/>
      <w:marRight w:val="0"/>
      <w:marTop w:val="0"/>
      <w:marBottom w:val="0"/>
      <w:divBdr>
        <w:top w:val="none" w:sz="0" w:space="0" w:color="auto"/>
        <w:left w:val="none" w:sz="0" w:space="0" w:color="auto"/>
        <w:bottom w:val="none" w:sz="0" w:space="0" w:color="auto"/>
        <w:right w:val="none" w:sz="0" w:space="0" w:color="auto"/>
      </w:divBdr>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583947097">
      <w:bodyDiv w:val="1"/>
      <w:marLeft w:val="0"/>
      <w:marRight w:val="0"/>
      <w:marTop w:val="0"/>
      <w:marBottom w:val="0"/>
      <w:divBdr>
        <w:top w:val="none" w:sz="0" w:space="0" w:color="auto"/>
        <w:left w:val="none" w:sz="0" w:space="0" w:color="auto"/>
        <w:bottom w:val="none" w:sz="0" w:space="0" w:color="auto"/>
        <w:right w:val="none" w:sz="0" w:space="0" w:color="auto"/>
      </w:divBdr>
    </w:div>
    <w:div w:id="1595475625">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687057385">
      <w:bodyDiv w:val="1"/>
      <w:marLeft w:val="0"/>
      <w:marRight w:val="0"/>
      <w:marTop w:val="0"/>
      <w:marBottom w:val="0"/>
      <w:divBdr>
        <w:top w:val="none" w:sz="0" w:space="0" w:color="auto"/>
        <w:left w:val="none" w:sz="0" w:space="0" w:color="auto"/>
        <w:bottom w:val="none" w:sz="0" w:space="0" w:color="auto"/>
        <w:right w:val="none" w:sz="0" w:space="0" w:color="auto"/>
      </w:divBdr>
    </w:div>
    <w:div w:id="1707020058">
      <w:bodyDiv w:val="1"/>
      <w:marLeft w:val="0"/>
      <w:marRight w:val="0"/>
      <w:marTop w:val="0"/>
      <w:marBottom w:val="0"/>
      <w:divBdr>
        <w:top w:val="none" w:sz="0" w:space="0" w:color="auto"/>
        <w:left w:val="none" w:sz="0" w:space="0" w:color="auto"/>
        <w:bottom w:val="none" w:sz="0" w:space="0" w:color="auto"/>
        <w:right w:val="none" w:sz="0" w:space="0" w:color="auto"/>
      </w:divBdr>
    </w:div>
    <w:div w:id="1730420502">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838233044">
      <w:bodyDiv w:val="1"/>
      <w:marLeft w:val="0"/>
      <w:marRight w:val="0"/>
      <w:marTop w:val="0"/>
      <w:marBottom w:val="0"/>
      <w:divBdr>
        <w:top w:val="none" w:sz="0" w:space="0" w:color="auto"/>
        <w:left w:val="none" w:sz="0" w:space="0" w:color="auto"/>
        <w:bottom w:val="none" w:sz="0" w:space="0" w:color="auto"/>
        <w:right w:val="none" w:sz="0" w:space="0" w:color="auto"/>
      </w:divBdr>
    </w:div>
    <w:div w:id="1847789209">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1896701051">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epocrates.com/u/10a4565/clindamycin-tretinoin+topical" TargetMode="External"/><Relationship Id="rId18" Type="http://schemas.openxmlformats.org/officeDocument/2006/relationships/hyperlink" Target="https://online.epocrates.com/u/10a3301/Humira" TargetMode="External"/><Relationship Id="rId26" Type="http://schemas.openxmlformats.org/officeDocument/2006/relationships/hyperlink" Target="http://www.cancertherapyadvisor.com/breast-cancer/breast-cancer-dexamethasone-mouthwash-prevents-stomatitis/article/522473/?DCMP=EMC-CTA_Front&amp;cpn=&amp;hmSubId=&amp;NID=&amp;spMailingID=15437943&amp;spUserID=NDgyNTEwMTE5NjYS1&amp;spJobID=861227646&amp;spReportId=ODYxMjI3NjQ2S0" TargetMode="External"/><Relationship Id="rId39" Type="http://schemas.openxmlformats.org/officeDocument/2006/relationships/hyperlink" Target="http://www.pharmacytimes.com/news/4-ways-pharmacists-can-be-superheroes-for-medicare-patients?utm_source=Informz&amp;utm_medium=Pharmacy+Times&amp;utm_campaign=PT%5FeNews%5FDaily%5FUnsponsored%5F8%2D19%2D16" TargetMode="External"/><Relationship Id="rId21" Type="http://schemas.openxmlformats.org/officeDocument/2006/relationships/hyperlink" Target="http://www.univadis.com/viewarticle/220-increase-in-adverse-reactions-to-zolpidem-441328?u=g7Nnk16ewgsJtuO1j0racp26fBgCcTuESKBOzIzYvrA95%2B5oYhgq6CU3D2hdiuQc&amp;utm_source=newsletter%20email&amp;utm_medium=email&amp;utm_campaign=ct-newsletter_wf-automated_fq-daily_cp-medicalupdates&amp;utm_content=1043558&amp;utm_term=automated_daily" TargetMode="External"/><Relationship Id="rId34" Type="http://schemas.openxmlformats.org/officeDocument/2006/relationships/hyperlink" Target="http://www.cdc.gov/features/preventchickenpox/index.html" TargetMode="External"/><Relationship Id="rId42" Type="http://schemas.openxmlformats.org/officeDocument/2006/relationships/hyperlink" Target="http://www.raps.org/Regulatory-Focus/News/2016/07/28/25463/FDA-Says-%E2%80%98General-Wellness%E2%80%99-Devices-Exempt-From-Regulations/" TargetMode="External"/><Relationship Id="rId47" Type="http://schemas.openxmlformats.org/officeDocument/2006/relationships/hyperlink" Target="http://www.pharmacytimes.com/conferences/painweek-2016/how-pharmacists-can-help-prevent-oic?utm_source=Informz&amp;utm_medium=Pharmacy+Times&amp;utm_campaign=PT%5FPAIN%5FWEEK%5FConference%5FDay%5F2%5F9%2D8%2D16" TargetMode="External"/><Relationship Id="rId50" Type="http://schemas.openxmlformats.org/officeDocument/2006/relationships/hyperlink" Target="http://www.ismp.org/NAN/files/NAN-20160915.pdf" TargetMode="External"/><Relationship Id="rId55" Type="http://schemas.openxmlformats.org/officeDocument/2006/relationships/hyperlink" Target="http://www.managedhealthcareconnect.com/content/teva-says-hoping-launch-epipen-device-2018-u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online.epocrates.com/u/10a4917/Dexilant" TargetMode="External"/><Relationship Id="rId29" Type="http://schemas.openxmlformats.org/officeDocument/2006/relationships/hyperlink" Target="http://www.fda.gov/Safety/MedWatch/SafetyInformation/SafetyAlertsforHumanMedicalProducts/ucm511890.htm" TargetMode="External"/><Relationship Id="rId11" Type="http://schemas.openxmlformats.org/officeDocument/2006/relationships/hyperlink" Target="http://www.fda.gov/Safety/MedWatch/SafetyInformation/SafetyAlertsforHumanMedicalProducts/ucm511528.htm" TargetMode="External"/><Relationship Id="rId24" Type="http://schemas.openxmlformats.org/officeDocument/2006/relationships/hyperlink" Target="http://www.managedhealthcareconnect.com/content/codeine-not-safe-kids-aap-warns" TargetMode="External"/><Relationship Id="rId32" Type="http://schemas.openxmlformats.org/officeDocument/2006/relationships/hyperlink" Target="http://www.fda.gov/NewsEvents/Newsroom/PressAnnouncements/UCM521063?source=govdelivery&amp;utm_medium=email&amp;utm_source=govdelivery" TargetMode="External"/><Relationship Id="rId37" Type="http://schemas.openxmlformats.org/officeDocument/2006/relationships/hyperlink" Target="http://www.cdc.gov/vaccines/programs/vfc/awardees/vaccine-management/price-list/index.html" TargetMode="External"/><Relationship Id="rId40" Type="http://schemas.openxmlformats.org/officeDocument/2006/relationships/hyperlink" Target="http://echo4.bluehornet.com/hostedemail/email.htm?CID=35959271192&amp;ch=28C78D77543DA38E236504C34EB2ED35&amp;h=b18a40afb5a0becc04904f3238b98be7&amp;ei=T1dSfZYNO&amp;schema=echo4" TargetMode="External"/><Relationship Id="rId45" Type="http://schemas.openxmlformats.org/officeDocument/2006/relationships/hyperlink" Target="http://www.pharmacytimes.com/conferences/painweek-2016/4-things-pharmacists-should-know-about-opioid-induced-constipation?utm_source=Informz&amp;utm_medium=Pharmacy+Times&amp;utm_campaign=PT%5FPAIN%5FWEEK%5FConference%5FDay%5F2%5F9%2D8%2D16" TargetMode="External"/><Relationship Id="rId53" Type="http://schemas.openxmlformats.org/officeDocument/2006/relationships/hyperlink" Target="https://medlineplus.gov/news/fullstory_160908.html"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www.fda.gov/Drugs/DrugSafety/ucm518473.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nline.epocrates.com/u/10a7548/Jentadueto+XR" TargetMode="External"/><Relationship Id="rId22" Type="http://schemas.openxmlformats.org/officeDocument/2006/relationships/hyperlink" Target="http://www.medicalnewstoday.com/articles/312262.php" TargetMode="External"/><Relationship Id="rId27" Type="http://schemas.openxmlformats.org/officeDocument/2006/relationships/hyperlink" Target="http://healthitanalytics.com/resources/white-papers/5-tips-to-improve-your-hcahps-scores?elqTrackId=f2c6634e9c8a411792b599122e89f010&amp;elq=481ccd6ac5624ac0ac538e4049a1ba85&amp;elqaid=809&amp;elqat=1&amp;elqCampaignId=710" TargetMode="External"/><Relationship Id="rId30" Type="http://schemas.openxmlformats.org/officeDocument/2006/relationships/hyperlink" Target="http://www.fda.gov/Safety/MedWatch/SafetyInformation/SafetyAlertsforHumanMedicalProducts/ucm506554.htm" TargetMode="External"/><Relationship Id="rId35" Type="http://schemas.openxmlformats.org/officeDocument/2006/relationships/hyperlink" Target="http://www.cdc.gov/features/reasonstovaccinate/index.html" TargetMode="External"/><Relationship Id="rId43" Type="http://schemas.openxmlformats.org/officeDocument/2006/relationships/hyperlink" Target="http://links.govdelivery.com:80/track?type=click&amp;enid=ZWFzPTEmbWFpbGluZ2lkPTIwMTYwODMwLjYzMTQxMzYxJm1lc3NhZ2VpZD1NREItUFJELUJVTC0yMDE2MDgzMC42MzE0MTM2MSZkYXRhYmFzZWlkPTEwMDEmc2VyaWFsPTE3MDk3ODY1JmVtYWlsaWQ9cmFuZHkuY3VycnlAc3dvc3UuZWR1JnVzZXJpZD1yYW5keS5jdXJyeUBzd29zdS5lZHUmZmw9JmV4dHJhPU11bHRpdmFyaWF0ZUlkPSYmJg==&amp;&amp;&amp;100&amp;&amp;&amp;http://go.usa.gov/xWKXe" TargetMode="External"/><Relationship Id="rId48" Type="http://schemas.openxmlformats.org/officeDocument/2006/relationships/hyperlink" Target="http://mjh-pharmacytimes.informz.net/z/cjUucD9taT01NTQwMDUwJnA9MSZ1PTgzNDM0NzUwNyZsaT0zNzU1OTk0Ng/index.html" TargetMode="External"/><Relationship Id="rId56" Type="http://schemas.openxmlformats.org/officeDocument/2006/relationships/hyperlink" Target="http://www.cdc.gov/hpv/hcp/tools-materials.html" TargetMode="External"/><Relationship Id="rId8" Type="http://schemas.openxmlformats.org/officeDocument/2006/relationships/endnotes" Target="endnotes.xml"/><Relationship Id="rId51" Type="http://schemas.openxmlformats.org/officeDocument/2006/relationships/hyperlink" Target="http://www.drugstorenews.com/article/splenda-launches-stevia-sweetener?tp=i-H55-Q5U-1ez-24sAx-1v-wGU-1c-Nuq-24s54-6bK49&amp;utm_campaign=Daily&amp;utm_source=Experian&amp;utm_medium=email&amp;cid=6385&amp;mid=30714239" TargetMode="External"/><Relationship Id="rId3" Type="http://schemas.openxmlformats.org/officeDocument/2006/relationships/styles" Target="styles.xml"/><Relationship Id="rId12" Type="http://schemas.openxmlformats.org/officeDocument/2006/relationships/hyperlink" Target="http://www.fda.gov/Safety/MedWatch/SafetyInformation/SafetyAlertsforHumanMedicalProducts/ucm504736.htm" TargetMode="External"/><Relationship Id="rId17" Type="http://schemas.openxmlformats.org/officeDocument/2006/relationships/hyperlink" Target="https://online.epocrates.com/u/10a7510/Dexilant+SoluTab" TargetMode="External"/><Relationship Id="rId25" Type="http://schemas.openxmlformats.org/officeDocument/2006/relationships/hyperlink" Target="http://www.consultant360.com/articles/levothyroxine-hypothyroidism-can-bedtime-administration-be-viable-option" TargetMode="External"/><Relationship Id="rId33" Type="http://schemas.openxmlformats.org/officeDocument/2006/relationships/hyperlink" Target="https://online.epocrates.com/u/10a5672/Prevnar+13" TargetMode="External"/><Relationship Id="rId38" Type="http://schemas.openxmlformats.org/officeDocument/2006/relationships/hyperlink" Target="https://content.govdelivery.com/accounts/USCDC/bulletins/15eb28b" TargetMode="External"/><Relationship Id="rId46" Type="http://schemas.openxmlformats.org/officeDocument/2006/relationships/hyperlink" Target="http://mjh-pharmacytimes.informz.net/z/cjUucD9taT01NTQwMDUwJnA9MSZ1PTgzNDM0NzUwNyZsaT0zNzU1OTk0Mw/index.html" TargetMode="External"/><Relationship Id="rId20" Type="http://schemas.openxmlformats.org/officeDocument/2006/relationships/hyperlink" Target="http://www.pharmacytimes.com/contributor/shivam-patel-pharmd-candidate/2016/08/medications-requiring-renal-dosage-adjustments?utm_source=Informz&amp;utm_medium=Pharmacy+Times&amp;utm_campaign=PT%5FeNews%5FDaily%5FUnsponsored%5F8%2D19%2D16" TargetMode="External"/><Relationship Id="rId41" Type="http://schemas.openxmlformats.org/officeDocument/2006/relationships/hyperlink" Target="http://www.cdc.gov/features/valleyfever/index.html" TargetMode="External"/><Relationship Id="rId54" Type="http://schemas.openxmlformats.org/officeDocument/2006/relationships/hyperlink" Target="https://medlineplus.gov/news/fullstory_160986.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nline.epocrates.com/u/10a7547/Epclusa" TargetMode="External"/><Relationship Id="rId23" Type="http://schemas.openxmlformats.org/officeDocument/2006/relationships/hyperlink" Target="http://www.drugstorenews.com/article/dsn-becton-dickinson-team-help-educate-community-pharmacies-about-injectable-diabetes-treatm?tp=i-H55-Q5U-1ez-24sAx-1v-wGU-1c-Nua-24s54-230zQ&amp;utm_campaign=Daily&amp;utm_source=Experian&amp;utm_medium=email&amp;cid=6385&amp;mid=30714239" TargetMode="External"/><Relationship Id="rId28" Type="http://schemas.openxmlformats.org/officeDocument/2006/relationships/hyperlink" Target="http://www.fda.gov/Safety/MedWatch/SafetyInformation/SafetyAlertsforHumanMedicalProducts/ucm513065.htm" TargetMode="External"/><Relationship Id="rId36" Type="http://schemas.openxmlformats.org/officeDocument/2006/relationships/hyperlink" Target="http://www.cdc.gov/mmwr/volumes/65/wr/mm6533a4.htm" TargetMode="External"/><Relationship Id="rId49" Type="http://schemas.openxmlformats.org/officeDocument/2006/relationships/hyperlink" Target="http://www.pharmacytimes.com/conferences/painweek-2016/steps-pharmacists-should-take-to-reduce-oic?utm_source=Informz&amp;utm_medium=Pharmacy+Times&amp;utm_campaign=PT%5FPAIN%5FWEEK%5FConference%5FDay%5F2%5F9%2D8%2D16"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reference.medscape.com/features/slideshow/drug-review/2016/august?src=wnl_drugupdt_160822_mscpref&amp;uac=4045DY&amp;impID=1181825&amp;faf=1" TargetMode="External"/><Relationship Id="rId44" Type="http://schemas.openxmlformats.org/officeDocument/2006/relationships/hyperlink" Target="http://drugtopics.modernmedicine.com/tag/generics?cfcache=true&amp;GUID=4E10CEE7-7762-4945-BD54-02AD876BC4C3&amp;rememberme=1&amp;ts=12092016" TargetMode="External"/><Relationship Id="rId52" Type="http://schemas.openxmlformats.org/officeDocument/2006/relationships/hyperlink" Target="http://www.drugstorenews.com/article/prescribewellness-partners-independent-pharmacy-alliance?tp=i-H55-Q5U-1ez-24sAx-1v-wGU-1c-Nuf-24s54-5OoKm&amp;utm_campaign=Daily&amp;utm_source=Experian&amp;utm_medium=email&amp;cid=6385&amp;mid=30714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71F0-D768-458B-8C83-43DE715E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Brooks</dc:creator>
  <cp:lastModifiedBy>Foust, Adina</cp:lastModifiedBy>
  <cp:revision>2</cp:revision>
  <cp:lastPrinted>2016-08-17T20:17:00Z</cp:lastPrinted>
  <dcterms:created xsi:type="dcterms:W3CDTF">2016-09-22T19:02:00Z</dcterms:created>
  <dcterms:modified xsi:type="dcterms:W3CDTF">2016-09-22T19:02:00Z</dcterms:modified>
</cp:coreProperties>
</file>